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wmf" ContentType="image/x-wmf"/>
  <Override PartName="/word/media/image3.wmf" ContentType="image/x-wmf"/>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Times New Roman" w:hAnsi="Times New Roman" w:cs="Arial"/>
          <w:b/>
          <w:b/>
          <w:bCs/>
          <w:i/>
          <w:i/>
          <w:iCs/>
          <w:color w:val="FF0000"/>
          <w:sz w:val="24"/>
          <w:szCs w:val="24"/>
        </w:rPr>
      </w:pPr>
      <w:r>
        <w:rPr>
          <w:rFonts w:cs="Arial" w:ascii="Times New Roman" w:hAnsi="Times New Roman"/>
          <w:b/>
          <w:bCs/>
          <w:i/>
          <w:iCs/>
          <w:color w:val="FF0000"/>
          <w:sz w:val="24"/>
          <w:szCs w:val="24"/>
        </w:rPr>
      </w:r>
    </w:p>
    <w:p>
      <w:pPr>
        <w:pStyle w:val="Normal"/>
        <w:widowControl w:val="false"/>
        <w:jc w:val="center"/>
        <w:rPr>
          <w:rFonts w:ascii="Times New Roman" w:hAnsi="Times New Roman" w:cs="Arial"/>
          <w:b/>
          <w:b/>
          <w:sz w:val="24"/>
          <w:szCs w:val="24"/>
          <w:lang w:eastAsia="pt-BR"/>
        </w:rPr>
      </w:pPr>
      <w:r>
        <w:rPr>
          <w:rFonts w:cs="Arial" w:ascii="Times New Roman" w:hAnsi="Times New Roman"/>
          <w:b/>
          <w:sz w:val="24"/>
          <w:szCs w:val="24"/>
          <w:lang w:eastAsia="pt-BR"/>
        </w:rPr>
        <w:drawing>
          <wp:anchor behindDoc="0" distT="0" distB="0" distL="114935" distR="114935" simplePos="0" locked="0" layoutInCell="0" allowOverlap="1" relativeHeight="17">
            <wp:simplePos x="0" y="0"/>
            <wp:positionH relativeFrom="column">
              <wp:posOffset>2680335</wp:posOffset>
            </wp:positionH>
            <wp:positionV relativeFrom="paragraph">
              <wp:posOffset>120650</wp:posOffset>
            </wp:positionV>
            <wp:extent cx="752475" cy="733425"/>
            <wp:effectExtent l="0" t="0" r="0" b="0"/>
            <wp:wrapSquare wrapText="largest"/>
            <wp:docPr id="1"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descr=""/>
                    <pic:cNvPicPr>
                      <a:picLocks noChangeAspect="1" noChangeArrowheads="1"/>
                    </pic:cNvPicPr>
                  </pic:nvPicPr>
                  <pic:blipFill>
                    <a:blip r:embed="rId2"/>
                    <a:srcRect l="-21" t="-19" r="-21" b="-19"/>
                    <a:stretch>
                      <a:fillRect/>
                    </a:stretch>
                  </pic:blipFill>
                  <pic:spPr bwMode="auto">
                    <a:xfrm>
                      <a:off x="0" y="0"/>
                      <a:ext cx="752475" cy="733425"/>
                    </a:xfrm>
                    <a:prstGeom prst="rect">
                      <a:avLst/>
                    </a:prstGeom>
                  </pic:spPr>
                </pic:pic>
              </a:graphicData>
            </a:graphic>
          </wp:anchor>
        </w:drawing>
      </w:r>
    </w:p>
    <w:p>
      <w:pPr>
        <w:pStyle w:val="Normal"/>
        <w:widowControl w:val="false"/>
        <w:jc w:val="center"/>
        <w:rPr>
          <w:rFonts w:ascii="Times New Roman" w:hAnsi="Times New Roman" w:cs="Arial"/>
          <w:b/>
          <w:b/>
          <w:sz w:val="24"/>
          <w:szCs w:val="24"/>
        </w:rPr>
      </w:pPr>
      <w:r>
        <w:rPr>
          <w:rFonts w:cs="Arial" w:ascii="Times New Roman" w:hAnsi="Times New Roman"/>
          <w:b/>
          <w:sz w:val="24"/>
          <w:szCs w:val="24"/>
        </w:rPr>
      </w:r>
    </w:p>
    <w:p>
      <w:pPr>
        <w:pStyle w:val="Normal"/>
        <w:widowControl w:val="false"/>
        <w:jc w:val="center"/>
        <w:rPr>
          <w:rFonts w:ascii="Times New Roman" w:hAnsi="Times New Roman" w:cs="Arial"/>
          <w:b/>
          <w:b/>
          <w:sz w:val="24"/>
          <w:szCs w:val="24"/>
        </w:rPr>
      </w:pPr>
      <w:r>
        <w:rPr>
          <w:rFonts w:cs="Arial" w:ascii="Times New Roman" w:hAnsi="Times New Roman"/>
          <w:b/>
          <w:sz w:val="24"/>
          <w:szCs w:val="24"/>
        </w:rPr>
      </w:r>
    </w:p>
    <w:p>
      <w:pPr>
        <w:pStyle w:val="Normal"/>
        <w:widowControl w:val="false"/>
        <w:jc w:val="center"/>
        <w:rPr>
          <w:rFonts w:ascii="Times New Roman" w:hAnsi="Times New Roman" w:cs="Arial"/>
          <w:b/>
          <w:b/>
          <w:sz w:val="24"/>
          <w:szCs w:val="24"/>
        </w:rPr>
      </w:pPr>
      <w:r>
        <w:rPr>
          <w:rFonts w:cs="Arial" w:ascii="Times New Roman" w:hAnsi="Times New Roman"/>
          <w:b/>
          <w:sz w:val="24"/>
          <w:szCs w:val="24"/>
        </w:rPr>
      </w:r>
    </w:p>
    <w:p>
      <w:pPr>
        <w:pStyle w:val="Normal"/>
        <w:widowControl w:val="false"/>
        <w:jc w:val="center"/>
        <w:rPr>
          <w:rFonts w:ascii="Times New Roman" w:hAnsi="Times New Roman" w:cs="Arial"/>
          <w:b/>
          <w:b/>
          <w:sz w:val="24"/>
          <w:szCs w:val="24"/>
        </w:rPr>
      </w:pPr>
      <w:r>
        <w:rPr>
          <w:rFonts w:cs="Arial" w:ascii="Times New Roman" w:hAnsi="Times New Roman"/>
          <w:b/>
          <w:sz w:val="24"/>
          <w:szCs w:val="24"/>
        </w:rPr>
      </w:r>
    </w:p>
    <w:p>
      <w:pPr>
        <w:pStyle w:val="Normal"/>
        <w:widowControl w:val="false"/>
        <w:jc w:val="center"/>
        <w:rPr>
          <w:rFonts w:ascii="Times New Roman" w:hAnsi="Times New Roman"/>
          <w:sz w:val="21"/>
          <w:szCs w:val="21"/>
        </w:rPr>
      </w:pPr>
      <w:r>
        <w:rPr>
          <w:rFonts w:cs="Arial" w:ascii="Times New Roman" w:hAnsi="Times New Roman"/>
          <w:b/>
          <w:i w:val="false"/>
          <w:iCs w:val="false"/>
          <w:color w:val="auto"/>
          <w:sz w:val="21"/>
          <w:szCs w:val="21"/>
        </w:rPr>
        <w:t>MINISTÉRIO DA DEFESA</w:t>
      </w:r>
    </w:p>
    <w:p>
      <w:pPr>
        <w:pStyle w:val="Normal"/>
        <w:widowControl w:val="false"/>
        <w:jc w:val="center"/>
        <w:rPr>
          <w:rFonts w:ascii="Times New Roman" w:hAnsi="Times New Roman"/>
          <w:sz w:val="21"/>
          <w:szCs w:val="21"/>
        </w:rPr>
      </w:pPr>
      <w:r>
        <w:rPr>
          <w:rFonts w:cs="Arial" w:ascii="Times New Roman" w:hAnsi="Times New Roman"/>
          <w:b/>
          <w:i w:val="false"/>
          <w:iCs w:val="false"/>
          <w:color w:val="auto"/>
          <w:sz w:val="21"/>
          <w:szCs w:val="21"/>
        </w:rPr>
        <w:t>EXÉRCITO BRASILEIRO</w:t>
      </w:r>
    </w:p>
    <w:p>
      <w:pPr>
        <w:pStyle w:val="Normal"/>
        <w:widowControl w:val="false"/>
        <w:jc w:val="center"/>
        <w:rPr>
          <w:rFonts w:ascii="Times New Roman" w:hAnsi="Times New Roman"/>
          <w:sz w:val="21"/>
          <w:szCs w:val="21"/>
        </w:rPr>
      </w:pPr>
      <w:r>
        <w:rPr>
          <w:rFonts w:cs="Arial" w:ascii="Times New Roman" w:hAnsi="Times New Roman"/>
          <w:b/>
          <w:i w:val="false"/>
          <w:iCs w:val="false"/>
          <w:color w:val="auto"/>
          <w:sz w:val="21"/>
          <w:szCs w:val="21"/>
        </w:rPr>
        <w:t>32º BATALHÃO DE INFANTARIA LEVE DE MONTANHA</w:t>
      </w:r>
    </w:p>
    <w:p>
      <w:pPr>
        <w:pStyle w:val="Normal"/>
        <w:widowControl w:val="false"/>
        <w:jc w:val="center"/>
        <w:rPr>
          <w:rFonts w:ascii="Times New Roman" w:hAnsi="Times New Roman"/>
          <w:sz w:val="21"/>
          <w:szCs w:val="21"/>
        </w:rPr>
      </w:pPr>
      <w:r>
        <w:rPr>
          <w:rFonts w:cs="Arial" w:ascii="Times New Roman" w:hAnsi="Times New Roman"/>
          <w:b/>
          <w:i w:val="false"/>
          <w:iCs w:val="false"/>
          <w:color w:val="auto"/>
          <w:sz w:val="21"/>
          <w:szCs w:val="21"/>
        </w:rPr>
        <w:t>BATALHÃO DOM PEDRO II</w:t>
      </w:r>
    </w:p>
    <w:p>
      <w:pPr>
        <w:pStyle w:val="Normal"/>
        <w:widowControl w:val="false"/>
        <w:jc w:val="center"/>
        <w:rPr>
          <w:rFonts w:ascii="Times New Roman" w:hAnsi="Times New Roman"/>
          <w:sz w:val="21"/>
          <w:szCs w:val="21"/>
        </w:rPr>
      </w:pPr>
      <w:r>
        <w:rPr>
          <w:rFonts w:ascii="Times New Roman" w:hAnsi="Times New Roman"/>
          <w:sz w:val="21"/>
          <w:szCs w:val="21"/>
        </w:rPr>
      </w:r>
    </w:p>
    <w:p>
      <w:pPr>
        <w:pStyle w:val="Normal"/>
        <w:widowControl w:val="false"/>
        <w:jc w:val="center"/>
        <w:rPr>
          <w:sz w:val="24"/>
          <w:szCs w:val="24"/>
        </w:rPr>
      </w:pPr>
      <w:r>
        <w:rPr>
          <w:rFonts w:eastAsia="Arial" w:cs="Arial" w:ascii="Times New Roman" w:hAnsi="Times New Roman"/>
          <w:b/>
          <w:bCs/>
          <w:color w:val="000000"/>
          <w:kern w:val="0"/>
          <w:sz w:val="24"/>
          <w:szCs w:val="24"/>
          <w:u w:val="none"/>
          <w:shd w:fill="auto" w:val="clear"/>
          <w:lang w:val="pt-BR" w:eastAsia="pt-BR" w:bidi="ar-SA"/>
        </w:rPr>
        <w:t>PREGÃO ELETRÔNICO Nº 08/2023 – SRP</w:t>
      </w:r>
    </w:p>
    <w:p>
      <w:pPr>
        <w:pStyle w:val="Normal"/>
        <w:widowControl w:val="false"/>
        <w:jc w:val="center"/>
        <w:rPr>
          <w:sz w:val="24"/>
          <w:szCs w:val="24"/>
        </w:rPr>
      </w:pPr>
      <w:r>
        <w:rPr>
          <w:rFonts w:eastAsia="Arial" w:cs="Arial" w:ascii="Times New Roman" w:hAnsi="Times New Roman"/>
          <w:color w:val="000000"/>
          <w:kern w:val="0"/>
          <w:sz w:val="24"/>
          <w:szCs w:val="24"/>
          <w:u w:val="none"/>
          <w:shd w:fill="auto" w:val="clear"/>
          <w:lang w:val="pt-BR" w:eastAsia="pt-BR" w:bidi="ar-SA"/>
        </w:rPr>
        <w:t>(Processo Administrativo n° 64098.002263/2023-07)</w:t>
      </w:r>
    </w:p>
    <w:p>
      <w:pPr>
        <w:pStyle w:val="Nivel2"/>
        <w:widowControl/>
        <w:numPr>
          <w:ilvl w:val="0"/>
          <w:numId w:val="0"/>
        </w:numPr>
        <w:suppressAutoHyphens w:val="true"/>
        <w:bidi w:val="0"/>
        <w:spacing w:lineRule="auto" w:line="240"/>
        <w:ind w:left="999" w:right="0" w:hanging="0"/>
        <w:jc w:val="center"/>
        <w:rPr>
          <w:rFonts w:ascii="Times New Roman" w:hAnsi="Times New Roman" w:eastAsia="Arial" w:cs="Arial"/>
          <w:color w:val="000000"/>
          <w:kern w:val="0"/>
          <w:sz w:val="24"/>
          <w:szCs w:val="24"/>
          <w:u w:val="none"/>
          <w:lang w:val="pt-BR" w:eastAsia="pt-BR" w:bidi="ar-SA"/>
        </w:rPr>
      </w:pPr>
      <w:r>
        <w:rPr>
          <w:rFonts w:eastAsia="Arial" w:cs="Arial" w:ascii="Times New Roman" w:hAnsi="Times New Roman"/>
          <w:color w:val="000000"/>
          <w:kern w:val="0"/>
          <w:sz w:val="24"/>
          <w:szCs w:val="24"/>
          <w:u w:val="none"/>
          <w:lang w:val="pt-BR" w:eastAsia="pt-BR" w:bidi="ar-SA"/>
        </w:rPr>
      </w:r>
    </w:p>
    <w:p>
      <w:pPr>
        <w:pStyle w:val="Normal"/>
        <w:spacing w:lineRule="auto" w:line="312" w:before="234" w:after="402"/>
        <w:jc w:val="center"/>
        <w:rPr>
          <w:rFonts w:ascii="Times New Roman" w:hAnsi="Times New Roman"/>
          <w:sz w:val="24"/>
          <w:szCs w:val="24"/>
        </w:rPr>
      </w:pPr>
      <w:r>
        <w:rPr>
          <w:rFonts w:cs="Arial" w:ascii="Times New Roman" w:hAnsi="Times New Roman"/>
          <w:b/>
          <w:bCs/>
          <w:color w:val="000000"/>
          <w:sz w:val="24"/>
          <w:szCs w:val="24"/>
          <w:lang w:eastAsia="pt-BR"/>
        </w:rPr>
        <w:t>TERMO DE REFERÊNCIA</w:t>
      </w:r>
    </w:p>
    <w:p>
      <w:pPr>
        <w:pStyle w:val="Nivel01"/>
        <w:numPr>
          <w:ilvl w:val="0"/>
          <w:numId w:val="4"/>
        </w:numPr>
        <w:ind w:left="0" w:hanging="0"/>
        <w:rPr>
          <w:rFonts w:ascii="Times New Roman" w:hAnsi="Times New Roman"/>
          <w:sz w:val="24"/>
          <w:szCs w:val="24"/>
        </w:rPr>
      </w:pPr>
      <w:r>
        <w:rPr>
          <w:rFonts w:ascii="Times New Roman" w:hAnsi="Times New Roman"/>
          <w:sz w:val="24"/>
          <w:szCs w:val="24"/>
        </w:rPr>
        <w:t>CONDIÇÕES GERAIS DA CONTRATAÇÃO</w:t>
      </w:r>
    </w:p>
    <w:p>
      <w:pPr>
        <w:pStyle w:val="Nivel2"/>
        <w:numPr>
          <w:ilvl w:val="1"/>
          <w:numId w:val="158"/>
        </w:numPr>
        <w:ind w:left="0" w:right="0" w:hanging="0"/>
        <w:rPr>
          <w:rFonts w:ascii="Times New Roman" w:hAnsi="Times New Roman"/>
          <w:sz w:val="24"/>
          <w:szCs w:val="24"/>
        </w:rPr>
      </w:pPr>
      <w:r>
        <w:rPr>
          <w:rFonts w:ascii="Times New Roman" w:hAnsi="Times New Roman"/>
          <w:sz w:val="24"/>
          <w:szCs w:val="24"/>
        </w:rPr>
        <w:t>Aquisição de</w:t>
      </w:r>
      <w:r>
        <w:rPr>
          <w:rFonts w:ascii="Times New Roman" w:hAnsi="Times New Roman"/>
          <w:color w:val="FF0000"/>
          <w:sz w:val="24"/>
          <w:szCs w:val="24"/>
        </w:rPr>
        <w:t xml:space="preserve"> </w:t>
      </w:r>
      <w:r>
        <w:rPr>
          <w:rFonts w:ascii="Times New Roman" w:hAnsi="Times New Roman"/>
          <w:color w:val="auto"/>
          <w:sz w:val="24"/>
          <w:szCs w:val="24"/>
          <w:u w:val="single"/>
        </w:rPr>
        <w:t>Gás Liquefeito de Petróleo</w:t>
      </w:r>
      <w:r>
        <w:rPr>
          <w:rFonts w:ascii="Times New Roman" w:hAnsi="Times New Roman"/>
          <w:b/>
          <w:bCs/>
          <w:sz w:val="24"/>
          <w:szCs w:val="24"/>
        </w:rPr>
        <w:t>,</w:t>
      </w:r>
      <w:r>
        <w:rPr>
          <w:rFonts w:ascii="Times New Roman" w:hAnsi="Times New Roman"/>
          <w:sz w:val="24"/>
          <w:szCs w:val="24"/>
        </w:rPr>
        <w:t xml:space="preserve"> nos termos da tabela abaixo, conforme condições e exigências estabelecidas neste instrumento.</w:t>
      </w:r>
    </w:p>
    <w:tbl>
      <w:tblPr>
        <w:tblW w:w="9915" w:type="dxa"/>
        <w:jc w:val="left"/>
        <w:tblInd w:w="55" w:type="dxa"/>
        <w:tblLayout w:type="fixed"/>
        <w:tblCellMar>
          <w:top w:w="55" w:type="dxa"/>
          <w:left w:w="55" w:type="dxa"/>
          <w:bottom w:w="55" w:type="dxa"/>
          <w:right w:w="55" w:type="dxa"/>
        </w:tblCellMar>
        <w:tblLook w:firstRow="1" w:noVBand="1" w:lastRow="0" w:firstColumn="1" w:lastColumn="0" w:noHBand="0" w:val="04a0"/>
      </w:tblPr>
      <w:tblGrid>
        <w:gridCol w:w="601"/>
        <w:gridCol w:w="2578"/>
        <w:gridCol w:w="960"/>
        <w:gridCol w:w="1020"/>
        <w:gridCol w:w="1306"/>
        <w:gridCol w:w="1472"/>
        <w:gridCol w:w="1977"/>
      </w:tblGrid>
      <w:tr>
        <w:trPr/>
        <w:tc>
          <w:tcPr>
            <w:tcW w:w="601" w:type="dxa"/>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312" w:before="120" w:after="288"/>
              <w:jc w:val="center"/>
              <w:rPr>
                <w:rFonts w:ascii="Times New Roman" w:hAnsi="Times New Roman" w:eastAsia="Arial" w:cs="Arial"/>
                <w:b/>
                <w:b/>
                <w:bCs/>
                <w:color w:val="000000" w:themeColor="text1"/>
                <w:sz w:val="21"/>
                <w:szCs w:val="21"/>
              </w:rPr>
            </w:pPr>
            <w:r>
              <w:rPr>
                <w:rFonts w:eastAsia="Arial" w:cs="Arial" w:ascii="Times New Roman" w:hAnsi="Times New Roman"/>
                <w:b/>
                <w:bCs/>
                <w:color w:val="000000" w:themeColor="text1"/>
                <w:kern w:val="0"/>
                <w:sz w:val="21"/>
                <w:szCs w:val="21"/>
                <w:lang w:val="pt-BR" w:eastAsia="pt-BR" w:bidi="ar-SA"/>
              </w:rPr>
              <w:t>Item</w:t>
            </w:r>
          </w:p>
        </w:tc>
        <w:tc>
          <w:tcPr>
            <w:tcW w:w="2578" w:type="dxa"/>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312" w:before="120" w:after="288"/>
              <w:jc w:val="center"/>
              <w:rPr>
                <w:rFonts w:ascii="Times New Roman" w:hAnsi="Times New Roman" w:eastAsia="Arial" w:cs="Arial"/>
                <w:b/>
                <w:b/>
                <w:bCs/>
                <w:color w:val="000000" w:themeColor="text1"/>
                <w:kern w:val="0"/>
                <w:sz w:val="21"/>
                <w:szCs w:val="21"/>
                <w:lang w:val="pt-BR" w:eastAsia="pt-BR" w:bidi="ar-SA"/>
              </w:rPr>
            </w:pPr>
            <w:r>
              <w:rPr>
                <w:rFonts w:eastAsia="Arial" w:cs="Arial" w:ascii="Times New Roman" w:hAnsi="Times New Roman"/>
                <w:b/>
                <w:bCs/>
                <w:color w:val="000000" w:themeColor="text1"/>
                <w:kern w:val="0"/>
                <w:sz w:val="21"/>
                <w:szCs w:val="21"/>
                <w:lang w:val="pt-BR" w:eastAsia="pt-BR" w:bidi="ar-SA"/>
              </w:rPr>
              <w:t>Especificação</w:t>
            </w:r>
          </w:p>
        </w:tc>
        <w:tc>
          <w:tcPr>
            <w:tcW w:w="960" w:type="dxa"/>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312" w:before="120" w:after="288"/>
              <w:jc w:val="center"/>
              <w:rPr>
                <w:rFonts w:ascii="Times New Roman" w:hAnsi="Times New Roman" w:eastAsia="Arial" w:cs="Arial"/>
                <w:b/>
                <w:b/>
                <w:bCs/>
                <w:color w:val="000000" w:themeColor="text1"/>
                <w:kern w:val="0"/>
                <w:sz w:val="21"/>
                <w:szCs w:val="21"/>
                <w:lang w:val="pt-BR" w:eastAsia="pt-BR" w:bidi="ar-SA"/>
              </w:rPr>
            </w:pPr>
            <w:r>
              <w:rPr>
                <w:rFonts w:eastAsia="Arial" w:cs="Arial" w:ascii="Times New Roman" w:hAnsi="Times New Roman"/>
                <w:b/>
                <w:bCs/>
                <w:color w:val="000000" w:themeColor="text1"/>
                <w:kern w:val="0"/>
                <w:sz w:val="21"/>
                <w:szCs w:val="21"/>
                <w:lang w:val="pt-BR" w:eastAsia="pt-BR" w:bidi="ar-SA"/>
              </w:rPr>
              <w:t>CatMat</w:t>
            </w:r>
          </w:p>
        </w:tc>
        <w:tc>
          <w:tcPr>
            <w:tcW w:w="1020" w:type="dxa"/>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312" w:before="120" w:after="288"/>
              <w:jc w:val="center"/>
              <w:rPr>
                <w:rFonts w:ascii="Times New Roman" w:hAnsi="Times New Roman" w:eastAsia="Arial" w:cs="Arial"/>
                <w:color w:val="000000"/>
                <w:kern w:val="0"/>
                <w:sz w:val="21"/>
                <w:szCs w:val="21"/>
                <w:lang w:val="pt-BR" w:eastAsia="pt-BR" w:bidi="ar-SA"/>
              </w:rPr>
            </w:pPr>
            <w:r>
              <w:rPr>
                <w:rFonts w:eastAsia="Arial" w:cs="Arial" w:ascii="Times New Roman" w:hAnsi="Times New Roman"/>
                <w:b/>
                <w:bCs/>
                <w:color w:val="000000"/>
                <w:kern w:val="0"/>
                <w:sz w:val="21"/>
                <w:szCs w:val="21"/>
                <w:lang w:val="pt-BR" w:eastAsia="pt-BR" w:bidi="ar-SA"/>
              </w:rPr>
              <w:t>Unidade de Medida</w:t>
            </w:r>
          </w:p>
        </w:tc>
        <w:tc>
          <w:tcPr>
            <w:tcW w:w="1306" w:type="dxa"/>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312" w:before="120" w:after="288"/>
              <w:jc w:val="center"/>
              <w:rPr>
                <w:rFonts w:ascii="Times New Roman" w:hAnsi="Times New Roman" w:eastAsia="Arial" w:cs="Arial"/>
                <w:b/>
                <w:b/>
                <w:bCs/>
                <w:color w:val="auto"/>
                <w:kern w:val="0"/>
                <w:sz w:val="21"/>
                <w:szCs w:val="21"/>
                <w:lang w:val="pt-BR" w:eastAsia="pt-BR" w:bidi="ar-SA"/>
              </w:rPr>
            </w:pPr>
            <w:r>
              <w:rPr>
                <w:rFonts w:eastAsia="Arial" w:cs="Arial" w:ascii="Times New Roman" w:hAnsi="Times New Roman"/>
                <w:b/>
                <w:bCs/>
                <w:color w:val="auto"/>
                <w:kern w:val="0"/>
                <w:sz w:val="21"/>
                <w:szCs w:val="21"/>
                <w:lang w:val="pt-BR" w:eastAsia="pt-BR" w:bidi="ar-SA"/>
              </w:rPr>
              <w:t>Quantidade</w:t>
            </w:r>
          </w:p>
        </w:tc>
        <w:tc>
          <w:tcPr>
            <w:tcW w:w="1472" w:type="dxa"/>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312" w:before="120" w:after="288"/>
              <w:jc w:val="center"/>
              <w:rPr>
                <w:rFonts w:ascii="Times New Roman" w:hAnsi="Times New Roman" w:eastAsia="Arial" w:cs="Arial"/>
                <w:b/>
                <w:b/>
                <w:bCs/>
                <w:color w:val="auto"/>
                <w:kern w:val="0"/>
                <w:sz w:val="21"/>
                <w:szCs w:val="21"/>
                <w:lang w:val="pt-BR" w:eastAsia="pt-BR" w:bidi="ar-SA"/>
              </w:rPr>
            </w:pPr>
            <w:r>
              <w:rPr>
                <w:rFonts w:eastAsia="Arial" w:cs="Arial" w:ascii="Times New Roman" w:hAnsi="Times New Roman"/>
                <w:b/>
                <w:bCs/>
                <w:color w:val="auto"/>
                <w:kern w:val="0"/>
                <w:sz w:val="21"/>
                <w:szCs w:val="21"/>
                <w:lang w:val="pt-BR" w:eastAsia="pt-BR" w:bidi="ar-SA"/>
              </w:rPr>
              <w:t>Valor Máximo Aceitável (Unitário)</w:t>
            </w:r>
          </w:p>
        </w:tc>
        <w:tc>
          <w:tcPr>
            <w:tcW w:w="19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Times New Roman" w:hAnsi="Times New Roman" w:eastAsia="Arial" w:cs="Arial"/>
                <w:b/>
                <w:b/>
                <w:bCs/>
                <w:color w:val="auto"/>
                <w:kern w:val="0"/>
                <w:sz w:val="21"/>
                <w:szCs w:val="21"/>
                <w:lang w:val="pt-BR" w:eastAsia="pt-BR" w:bidi="ar-SA"/>
              </w:rPr>
            </w:pPr>
            <w:r>
              <w:rPr>
                <w:rFonts w:eastAsia="Arial" w:cs="Arial" w:ascii="Times New Roman" w:hAnsi="Times New Roman"/>
                <w:b/>
                <w:bCs/>
                <w:color w:val="auto"/>
                <w:kern w:val="0"/>
                <w:sz w:val="21"/>
                <w:szCs w:val="21"/>
                <w:lang w:val="pt-BR" w:eastAsia="pt-BR" w:bidi="ar-SA"/>
              </w:rPr>
              <w:t>Valor Máximo Aceitável (Total)</w:t>
            </w:r>
          </w:p>
        </w:tc>
      </w:tr>
      <w:tr>
        <w:trPr/>
        <w:tc>
          <w:tcPr>
            <w:tcW w:w="601" w:type="dxa"/>
            <w:tcBorders>
              <w:left w:val="single" w:sz="4" w:space="0" w:color="000000"/>
              <w:bottom w:val="single" w:sz="4" w:space="0" w:color="000000"/>
            </w:tcBorders>
            <w:vAlign w:val="center"/>
          </w:tcPr>
          <w:p>
            <w:pPr>
              <w:pStyle w:val="Normal"/>
              <w:widowControl w:val="false"/>
              <w:suppressAutoHyphens w:val="true"/>
              <w:spacing w:lineRule="auto" w:line="312" w:before="120" w:after="288"/>
              <w:jc w:val="center"/>
              <w:rPr>
                <w:rFonts w:ascii="Times New Roman" w:hAnsi="Times New Roman" w:eastAsia="Arial" w:cs="Arial"/>
                <w:b/>
                <w:b/>
                <w:bCs/>
                <w:color w:val="000000"/>
                <w:sz w:val="24"/>
                <w:szCs w:val="24"/>
              </w:rPr>
            </w:pPr>
            <w:r>
              <w:rPr>
                <w:rFonts w:eastAsia="Arial" w:cs="Arial" w:ascii="Times New Roman" w:hAnsi="Times New Roman"/>
                <w:b/>
                <w:bCs/>
                <w:color w:val="000000" w:themeColor="text1"/>
                <w:sz w:val="24"/>
                <w:szCs w:val="24"/>
              </w:rPr>
              <w:t>1</w:t>
            </w:r>
          </w:p>
        </w:tc>
        <w:tc>
          <w:tcPr>
            <w:tcW w:w="2578"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left"/>
              <w:rPr>
                <w:rFonts w:ascii="Times New Roman" w:hAnsi="Times New Roman" w:cs="Arial"/>
                <w:color w:val="000000"/>
                <w:sz w:val="24"/>
                <w:szCs w:val="24"/>
              </w:rPr>
            </w:pPr>
            <w:r>
              <w:rPr>
                <w:rFonts w:cs="Arial" w:ascii="Times New Roman" w:hAnsi="Times New Roman"/>
                <w:color w:val="000000"/>
                <w:sz w:val="24"/>
                <w:szCs w:val="24"/>
              </w:rPr>
              <w:t>Abastecimento de Gás Liquefeito de Petróleo (GLP) a granel, no Setor de Aprovisionamento da Sede do 32º Batalhão de Infantaria Leve de Montanha.</w:t>
            </w:r>
          </w:p>
          <w:p>
            <w:pPr>
              <w:pStyle w:val="Normal"/>
              <w:widowControl w:val="false"/>
              <w:suppressAutoHyphens w:val="true"/>
              <w:spacing w:lineRule="auto" w:line="276" w:before="0" w:after="120"/>
              <w:jc w:val="left"/>
              <w:rPr>
                <w:rFonts w:ascii="Times New Roman" w:hAnsi="Times New Roman" w:cs="Arial"/>
                <w:color w:val="000000"/>
                <w:sz w:val="24"/>
                <w:szCs w:val="24"/>
              </w:rPr>
            </w:pPr>
            <w:r>
              <w:rPr>
                <w:rFonts w:cs="Arial" w:ascii="Times New Roman" w:hAnsi="Times New Roman"/>
                <w:color w:val="000000"/>
                <w:sz w:val="24"/>
                <w:szCs w:val="24"/>
              </w:rPr>
              <w:t>A empresa contratada deverá disponibilizar, sob regime de comodato, 4 (quatro) reservatórios P190, sem custo para o contratante.</w:t>
            </w:r>
          </w:p>
          <w:p>
            <w:pPr>
              <w:pStyle w:val="Normal"/>
              <w:widowControl w:val="false"/>
              <w:suppressAutoHyphens w:val="true"/>
              <w:spacing w:lineRule="auto" w:line="276" w:before="0" w:after="120"/>
              <w:jc w:val="left"/>
              <w:rPr>
                <w:rFonts w:ascii="Times New Roman" w:hAnsi="Times New Roman" w:cs="Arial"/>
                <w:color w:val="000000"/>
                <w:sz w:val="24"/>
                <w:szCs w:val="24"/>
              </w:rPr>
            </w:pPr>
            <w:r>
              <w:rPr>
                <w:rFonts w:cs="Arial" w:ascii="Times New Roman" w:hAnsi="Times New Roman"/>
                <w:color w:val="000000"/>
                <w:sz w:val="24"/>
                <w:szCs w:val="24"/>
              </w:rPr>
              <w:t>O sistema de gás já se encontra instalado no local.</w:t>
            </w:r>
          </w:p>
        </w:tc>
        <w:tc>
          <w:tcPr>
            <w:tcW w:w="960"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Times New Roman" w:hAnsi="Times New Roman" w:cs="Arial"/>
                <w:color w:val="000000"/>
                <w:sz w:val="24"/>
                <w:szCs w:val="24"/>
              </w:rPr>
            </w:pPr>
            <w:r>
              <w:rPr>
                <w:rFonts w:cs="Arial" w:ascii="Times New Roman" w:hAnsi="Times New Roman"/>
                <w:color w:val="000000"/>
                <w:sz w:val="24"/>
                <w:szCs w:val="24"/>
              </w:rPr>
              <w:t>461651</w:t>
            </w:r>
          </w:p>
        </w:tc>
        <w:tc>
          <w:tcPr>
            <w:tcW w:w="1020"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Times New Roman" w:hAnsi="Times New Roman" w:cs="Arial"/>
                <w:color w:val="000000"/>
                <w:sz w:val="24"/>
                <w:szCs w:val="24"/>
              </w:rPr>
            </w:pPr>
            <w:r>
              <w:rPr>
                <w:rFonts w:cs="Arial" w:ascii="Times New Roman" w:hAnsi="Times New Roman"/>
                <w:color w:val="000000"/>
                <w:sz w:val="24"/>
                <w:szCs w:val="24"/>
              </w:rPr>
              <w:t>Kg</w:t>
            </w:r>
          </w:p>
        </w:tc>
        <w:tc>
          <w:tcPr>
            <w:tcW w:w="1306"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Times New Roman" w:hAnsi="Times New Roman" w:cs="Arial"/>
                <w:color w:val="000000"/>
                <w:sz w:val="24"/>
                <w:szCs w:val="24"/>
              </w:rPr>
            </w:pPr>
            <w:r>
              <w:rPr>
                <w:rFonts w:eastAsia="" w:cs="Arial" w:ascii="Times New Roman" w:hAnsi="Times New Roman"/>
                <w:color w:val="000000"/>
                <w:kern w:val="0"/>
                <w:sz w:val="24"/>
                <w:szCs w:val="24"/>
                <w:lang w:val="pt-BR" w:eastAsia="pt-BR" w:bidi="ar-SA"/>
              </w:rPr>
              <w:t>11</w:t>
            </w:r>
            <w:r>
              <w:rPr>
                <w:rFonts w:cs="Arial" w:ascii="Times New Roman" w:hAnsi="Times New Roman"/>
                <w:color w:val="000000"/>
                <w:sz w:val="24"/>
                <w:szCs w:val="24"/>
              </w:rPr>
              <w:t>.000</w:t>
            </w:r>
          </w:p>
        </w:tc>
        <w:tc>
          <w:tcPr>
            <w:tcW w:w="1472"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Times New Roman" w:hAnsi="Times New Roman" w:cs="Arial"/>
                <w:color w:val="000000"/>
                <w:sz w:val="24"/>
                <w:szCs w:val="24"/>
              </w:rPr>
            </w:pPr>
            <w:r>
              <w:rPr>
                <w:rFonts w:cs="Arial" w:ascii="Times New Roman" w:hAnsi="Times New Roman"/>
                <w:color w:val="000000"/>
                <w:sz w:val="24"/>
                <w:szCs w:val="24"/>
              </w:rPr>
              <w:t>R$ 12,63</w:t>
            </w:r>
          </w:p>
        </w:tc>
        <w:tc>
          <w:tcPr>
            <w:tcW w:w="19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Times New Roman" w:hAnsi="Times New Roman" w:cs="Arial"/>
                <w:color w:val="000000"/>
                <w:sz w:val="24"/>
                <w:szCs w:val="24"/>
              </w:rPr>
            </w:pPr>
            <w:r>
              <w:rPr>
                <w:rFonts w:cs="Arial" w:ascii="Times New Roman" w:hAnsi="Times New Roman"/>
                <w:color w:val="000000"/>
                <w:sz w:val="24"/>
                <w:szCs w:val="24"/>
              </w:rPr>
              <w:t>R$ 1</w:t>
            </w:r>
            <w:r>
              <w:rPr>
                <w:rFonts w:eastAsia="" w:cs="Arial" w:ascii="Times New Roman" w:hAnsi="Times New Roman"/>
                <w:color w:val="000000"/>
                <w:kern w:val="0"/>
                <w:sz w:val="24"/>
                <w:szCs w:val="24"/>
                <w:lang w:val="pt-BR" w:eastAsia="pt-BR" w:bidi="ar-SA"/>
              </w:rPr>
              <w:t>38.930</w:t>
            </w:r>
            <w:r>
              <w:rPr>
                <w:rFonts w:cs="Arial" w:ascii="Times New Roman" w:hAnsi="Times New Roman"/>
                <w:color w:val="000000"/>
                <w:sz w:val="24"/>
                <w:szCs w:val="24"/>
              </w:rPr>
              <w:t>,00</w:t>
            </w:r>
          </w:p>
        </w:tc>
      </w:tr>
      <w:tr>
        <w:trPr/>
        <w:tc>
          <w:tcPr>
            <w:tcW w:w="601" w:type="dxa"/>
            <w:tcBorders>
              <w:left w:val="single" w:sz="4" w:space="0" w:color="000000"/>
              <w:bottom w:val="single" w:sz="4" w:space="0" w:color="000000"/>
            </w:tcBorders>
            <w:vAlign w:val="center"/>
          </w:tcPr>
          <w:p>
            <w:pPr>
              <w:pStyle w:val="Normal"/>
              <w:widowControl w:val="false"/>
              <w:suppressAutoHyphens w:val="true"/>
              <w:spacing w:lineRule="auto" w:line="312" w:before="120" w:after="288"/>
              <w:jc w:val="center"/>
              <w:rPr>
                <w:rFonts w:ascii="Times New Roman" w:hAnsi="Times New Roman" w:eastAsia="Arial" w:cs="Arial"/>
                <w:b/>
                <w:b/>
                <w:bCs/>
                <w:color w:val="000000"/>
                <w:sz w:val="24"/>
                <w:szCs w:val="24"/>
              </w:rPr>
            </w:pPr>
            <w:r>
              <w:rPr>
                <w:rFonts w:eastAsia="Arial" w:cs="Arial" w:ascii="Times New Roman" w:hAnsi="Times New Roman"/>
                <w:b/>
                <w:bCs/>
                <w:color w:val="000000" w:themeColor="text1"/>
                <w:sz w:val="24"/>
                <w:szCs w:val="24"/>
              </w:rPr>
              <w:t>2</w:t>
            </w:r>
          </w:p>
        </w:tc>
        <w:tc>
          <w:tcPr>
            <w:tcW w:w="2578"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left"/>
              <w:rPr>
                <w:rFonts w:ascii="Times New Roman" w:hAnsi="Times New Roman" w:cs="Arial"/>
                <w:color w:val="000000"/>
                <w:sz w:val="24"/>
                <w:szCs w:val="24"/>
              </w:rPr>
            </w:pPr>
            <w:r>
              <w:rPr>
                <w:rFonts w:cs="Arial" w:ascii="Times New Roman" w:hAnsi="Times New Roman"/>
                <w:color w:val="000000"/>
                <w:sz w:val="24"/>
                <w:szCs w:val="24"/>
              </w:rPr>
              <w:t>Entrega de botijão de Gás Liquefeito do Petróleo (GLP) acondicionado em botij</w:t>
            </w:r>
            <w:r>
              <w:rPr>
                <w:rFonts w:eastAsia="" w:cs="Arial" w:ascii="Times New Roman" w:hAnsi="Times New Roman"/>
                <w:color w:val="000000"/>
                <w:kern w:val="0"/>
                <w:sz w:val="24"/>
                <w:szCs w:val="24"/>
                <w:lang w:val="pt-BR" w:eastAsia="pt-BR" w:bidi="ar-SA"/>
              </w:rPr>
              <w:t>ão</w:t>
            </w:r>
            <w:r>
              <w:rPr>
                <w:rFonts w:cs="Arial" w:ascii="Times New Roman" w:hAnsi="Times New Roman"/>
                <w:color w:val="000000"/>
                <w:sz w:val="24"/>
                <w:szCs w:val="24"/>
              </w:rPr>
              <w:t xml:space="preserve"> de 13 Kg (a base de troca) no Setor de Aprovisionamento do 32º Batalhão de Infantaria Leve de Montanha.</w:t>
            </w:r>
          </w:p>
        </w:tc>
        <w:tc>
          <w:tcPr>
            <w:tcW w:w="960"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Times New Roman" w:hAnsi="Times New Roman" w:cs="Arial"/>
                <w:color w:val="000000"/>
                <w:sz w:val="24"/>
                <w:szCs w:val="24"/>
              </w:rPr>
            </w:pPr>
            <w:r>
              <w:rPr>
                <w:rFonts w:cs="Arial" w:ascii="Times New Roman" w:hAnsi="Times New Roman"/>
                <w:color w:val="000000"/>
                <w:sz w:val="24"/>
                <w:szCs w:val="24"/>
              </w:rPr>
              <w:t>461652</w:t>
            </w:r>
          </w:p>
        </w:tc>
        <w:tc>
          <w:tcPr>
            <w:tcW w:w="1020"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Times New Roman" w:hAnsi="Times New Roman" w:cs="Arial"/>
                <w:color w:val="000000"/>
                <w:sz w:val="24"/>
                <w:szCs w:val="24"/>
              </w:rPr>
            </w:pPr>
            <w:r>
              <w:rPr>
                <w:rFonts w:cs="Arial" w:ascii="Times New Roman" w:hAnsi="Times New Roman"/>
                <w:color w:val="000000"/>
                <w:sz w:val="24"/>
                <w:szCs w:val="24"/>
              </w:rPr>
              <w:t>Unidade</w:t>
            </w:r>
          </w:p>
        </w:tc>
        <w:tc>
          <w:tcPr>
            <w:tcW w:w="1306"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Times New Roman" w:hAnsi="Times New Roman" w:cs="Arial"/>
                <w:color w:val="000000"/>
                <w:sz w:val="24"/>
                <w:szCs w:val="24"/>
              </w:rPr>
            </w:pPr>
            <w:r>
              <w:rPr>
                <w:rFonts w:eastAsia="" w:cs="Arial" w:ascii="Times New Roman" w:hAnsi="Times New Roman"/>
                <w:color w:val="000000"/>
                <w:kern w:val="0"/>
                <w:sz w:val="24"/>
                <w:szCs w:val="24"/>
                <w:lang w:val="pt-BR" w:eastAsia="pt-BR" w:bidi="ar-SA"/>
              </w:rPr>
              <w:t>1</w:t>
            </w:r>
            <w:r>
              <w:rPr>
                <w:rFonts w:cs="Arial" w:ascii="Times New Roman" w:hAnsi="Times New Roman"/>
                <w:color w:val="000000"/>
                <w:sz w:val="24"/>
                <w:szCs w:val="24"/>
              </w:rPr>
              <w:t>6</w:t>
            </w:r>
          </w:p>
        </w:tc>
        <w:tc>
          <w:tcPr>
            <w:tcW w:w="1472"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Times New Roman" w:hAnsi="Times New Roman" w:eastAsia="" w:cs="Arial"/>
                <w:color w:val="000000"/>
                <w:kern w:val="0"/>
                <w:sz w:val="24"/>
                <w:szCs w:val="24"/>
                <w:lang w:val="pt-BR" w:eastAsia="pt-BR" w:bidi="ar-SA"/>
              </w:rPr>
            </w:pPr>
            <w:r>
              <w:rPr>
                <w:rFonts w:eastAsia="" w:cs="Arial" w:ascii="Times New Roman" w:hAnsi="Times New Roman"/>
                <w:color w:val="000000"/>
                <w:kern w:val="0"/>
                <w:sz w:val="24"/>
                <w:szCs w:val="24"/>
                <w:lang w:val="pt-BR" w:eastAsia="pt-BR" w:bidi="ar-SA"/>
              </w:rPr>
              <w:t>R$ 138,00</w:t>
            </w:r>
          </w:p>
        </w:tc>
        <w:tc>
          <w:tcPr>
            <w:tcW w:w="19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Times New Roman" w:hAnsi="Times New Roman" w:eastAsia="" w:cs="Arial"/>
                <w:color w:val="000000"/>
                <w:kern w:val="0"/>
                <w:sz w:val="24"/>
                <w:szCs w:val="24"/>
                <w:lang w:val="pt-BR" w:eastAsia="pt-BR" w:bidi="ar-SA"/>
              </w:rPr>
            </w:pPr>
            <w:r>
              <w:rPr>
                <w:rFonts w:eastAsia="" w:cs="Arial" w:ascii="Times New Roman" w:hAnsi="Times New Roman"/>
                <w:color w:val="000000"/>
                <w:kern w:val="0"/>
                <w:sz w:val="24"/>
                <w:szCs w:val="24"/>
                <w:lang w:val="pt-BR" w:eastAsia="pt-BR" w:bidi="ar-SA"/>
              </w:rPr>
              <w:t>R$ 2.208,00</w:t>
            </w:r>
          </w:p>
        </w:tc>
      </w:tr>
      <w:tr>
        <w:trPr/>
        <w:tc>
          <w:tcPr>
            <w:tcW w:w="601" w:type="dxa"/>
            <w:tcBorders>
              <w:left w:val="single" w:sz="4" w:space="0" w:color="000000"/>
              <w:bottom w:val="single" w:sz="4" w:space="0" w:color="000000"/>
            </w:tcBorders>
            <w:vAlign w:val="center"/>
          </w:tcPr>
          <w:p>
            <w:pPr>
              <w:pStyle w:val="Normal"/>
              <w:widowControl w:val="false"/>
              <w:suppressAutoHyphens w:val="true"/>
              <w:spacing w:lineRule="auto" w:line="312" w:before="120" w:after="288"/>
              <w:jc w:val="center"/>
              <w:rPr>
                <w:rFonts w:ascii="Times New Roman" w:hAnsi="Times New Roman" w:eastAsia="Arial" w:cs="Arial"/>
                <w:b/>
                <w:b/>
                <w:bCs/>
                <w:color w:val="000000"/>
                <w:sz w:val="24"/>
                <w:szCs w:val="24"/>
              </w:rPr>
            </w:pPr>
            <w:r>
              <w:rPr>
                <w:rFonts w:eastAsia="Arial" w:cs="Arial" w:ascii="Times New Roman" w:hAnsi="Times New Roman"/>
                <w:b/>
                <w:bCs/>
                <w:color w:val="000000" w:themeColor="text1"/>
                <w:sz w:val="24"/>
                <w:szCs w:val="24"/>
              </w:rPr>
              <w:t>3</w:t>
            </w:r>
          </w:p>
        </w:tc>
        <w:tc>
          <w:tcPr>
            <w:tcW w:w="2578"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left"/>
              <w:rPr>
                <w:rFonts w:ascii="Times New Roman" w:hAnsi="Times New Roman" w:cs="Arial"/>
                <w:color w:val="000000"/>
                <w:sz w:val="24"/>
                <w:szCs w:val="24"/>
              </w:rPr>
            </w:pPr>
            <w:r>
              <w:rPr>
                <w:rFonts w:cs="Arial" w:ascii="Times New Roman" w:hAnsi="Times New Roman"/>
                <w:color w:val="000000"/>
                <w:sz w:val="24"/>
                <w:szCs w:val="24"/>
              </w:rPr>
              <w:t>Entrega de botijão de Gás Liquefeito do Petróleo (GLP) acondicionado em botijão de 45 Kg (a base de troca) no Setor de Aprovisionamento do 32º Batalhão de Infantaria Leve de Montanha.</w:t>
            </w:r>
          </w:p>
        </w:tc>
        <w:tc>
          <w:tcPr>
            <w:tcW w:w="960"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Times New Roman" w:hAnsi="Times New Roman" w:cs="Arial"/>
                <w:color w:val="000000"/>
                <w:sz w:val="24"/>
                <w:szCs w:val="24"/>
              </w:rPr>
            </w:pPr>
            <w:r>
              <w:rPr>
                <w:rFonts w:cs="Arial" w:ascii="Times New Roman" w:hAnsi="Times New Roman"/>
                <w:color w:val="000000"/>
                <w:sz w:val="24"/>
                <w:szCs w:val="24"/>
              </w:rPr>
              <w:t>461652</w:t>
            </w:r>
          </w:p>
        </w:tc>
        <w:tc>
          <w:tcPr>
            <w:tcW w:w="1020"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Times New Roman" w:hAnsi="Times New Roman" w:cs="Arial"/>
                <w:color w:val="000000"/>
                <w:sz w:val="24"/>
                <w:szCs w:val="24"/>
              </w:rPr>
            </w:pPr>
            <w:r>
              <w:rPr>
                <w:rFonts w:cs="Arial" w:ascii="Times New Roman" w:hAnsi="Times New Roman"/>
                <w:color w:val="000000"/>
                <w:sz w:val="24"/>
                <w:szCs w:val="24"/>
              </w:rPr>
              <w:t>Unidade</w:t>
            </w:r>
          </w:p>
        </w:tc>
        <w:tc>
          <w:tcPr>
            <w:tcW w:w="1306"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Times New Roman" w:hAnsi="Times New Roman" w:eastAsia="" w:cs="Arial"/>
                <w:color w:val="000000"/>
                <w:kern w:val="0"/>
                <w:sz w:val="24"/>
                <w:szCs w:val="24"/>
                <w:lang w:val="pt-BR" w:eastAsia="pt-BR" w:bidi="ar-SA"/>
              </w:rPr>
            </w:pPr>
            <w:r>
              <w:rPr>
                <w:rFonts w:eastAsia="" w:cs="Arial" w:ascii="Times New Roman" w:hAnsi="Times New Roman"/>
                <w:color w:val="000000"/>
                <w:kern w:val="0"/>
                <w:sz w:val="24"/>
                <w:szCs w:val="24"/>
                <w:lang w:val="pt-BR" w:eastAsia="pt-BR" w:bidi="ar-SA"/>
              </w:rPr>
              <w:t>25</w:t>
            </w:r>
          </w:p>
        </w:tc>
        <w:tc>
          <w:tcPr>
            <w:tcW w:w="1472"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Times New Roman" w:hAnsi="Times New Roman" w:cs="Arial"/>
                <w:color w:val="000000"/>
                <w:sz w:val="24"/>
                <w:szCs w:val="24"/>
              </w:rPr>
            </w:pPr>
            <w:r>
              <w:rPr>
                <w:rFonts w:cs="Arial" w:ascii="Times New Roman" w:hAnsi="Times New Roman"/>
                <w:color w:val="000000"/>
                <w:sz w:val="24"/>
                <w:szCs w:val="24"/>
              </w:rPr>
              <w:t>R$ 512,00</w:t>
            </w:r>
          </w:p>
        </w:tc>
        <w:tc>
          <w:tcPr>
            <w:tcW w:w="19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Times New Roman" w:hAnsi="Times New Roman" w:cs="Arial"/>
                <w:color w:val="000000"/>
                <w:sz w:val="24"/>
                <w:szCs w:val="24"/>
              </w:rPr>
            </w:pPr>
            <w:r>
              <w:rPr>
                <w:rFonts w:cs="Arial" w:ascii="Times New Roman" w:hAnsi="Times New Roman"/>
                <w:color w:val="000000"/>
                <w:sz w:val="24"/>
                <w:szCs w:val="24"/>
              </w:rPr>
              <w:t xml:space="preserve">R$ </w:t>
            </w:r>
            <w:r>
              <w:rPr>
                <w:rFonts w:eastAsia="" w:cs="Arial" w:ascii="Times New Roman" w:hAnsi="Times New Roman"/>
                <w:color w:val="000000"/>
                <w:kern w:val="0"/>
                <w:sz w:val="24"/>
                <w:szCs w:val="24"/>
                <w:lang w:val="pt-BR" w:eastAsia="pt-BR" w:bidi="ar-SA"/>
              </w:rPr>
              <w:t>12.800</w:t>
            </w:r>
            <w:r>
              <w:rPr>
                <w:rFonts w:cs="Arial" w:ascii="Times New Roman" w:hAnsi="Times New Roman"/>
                <w:color w:val="000000"/>
                <w:sz w:val="24"/>
                <w:szCs w:val="24"/>
              </w:rPr>
              <w:t>,00</w:t>
            </w:r>
          </w:p>
        </w:tc>
      </w:tr>
      <w:tr>
        <w:trPr/>
        <w:tc>
          <w:tcPr>
            <w:tcW w:w="7937" w:type="dxa"/>
            <w:gridSpan w:val="6"/>
            <w:tcBorders>
              <w:left w:val="single" w:sz="4" w:space="0" w:color="000000"/>
              <w:bottom w:val="single" w:sz="4" w:space="0" w:color="000000"/>
            </w:tcBorders>
            <w:vAlign w:val="center"/>
          </w:tcPr>
          <w:p>
            <w:pPr>
              <w:pStyle w:val="Normal"/>
              <w:widowControl w:val="false"/>
              <w:suppressAutoHyphens w:val="true"/>
              <w:spacing w:lineRule="auto" w:line="312" w:before="120" w:after="288"/>
              <w:jc w:val="right"/>
              <w:rPr>
                <w:rFonts w:ascii="Times New Roman" w:hAnsi="Times New Roman" w:eastAsia="Arial" w:cs="Arial"/>
                <w:b/>
                <w:b/>
                <w:bCs/>
                <w:color w:val="000000"/>
                <w:sz w:val="24"/>
                <w:szCs w:val="24"/>
              </w:rPr>
            </w:pPr>
            <w:r>
              <w:rPr>
                <w:rFonts w:eastAsia="Arial" w:cs="Arial" w:ascii="Times New Roman" w:hAnsi="Times New Roman"/>
                <w:b/>
                <w:bCs/>
                <w:color w:val="000000" w:themeColor="text1"/>
                <w:sz w:val="24"/>
                <w:szCs w:val="24"/>
              </w:rPr>
              <w:t>Valor Total Máximo Aceitável</w:t>
            </w:r>
          </w:p>
        </w:tc>
        <w:tc>
          <w:tcPr>
            <w:tcW w:w="1977" w:type="dxa"/>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rPr>
                <w:rFonts w:ascii="Times New Roman" w:hAnsi="Times New Roman" w:eastAsia="Arial" w:cs="Arial"/>
                <w:b/>
                <w:b/>
                <w:bCs/>
                <w:color w:val="000000"/>
                <w:sz w:val="24"/>
                <w:szCs w:val="24"/>
              </w:rPr>
            </w:pPr>
            <w:r>
              <w:rPr>
                <w:rFonts w:eastAsia="Arial" w:cs="Arial" w:ascii="Times New Roman" w:hAnsi="Times New Roman"/>
                <w:b/>
                <w:bCs/>
                <w:color w:val="000000"/>
                <w:sz w:val="24"/>
                <w:szCs w:val="24"/>
              </w:rPr>
              <w:t xml:space="preserve">R$ </w:t>
            </w:r>
            <w:r>
              <w:rPr>
                <w:rFonts w:eastAsia="Arial" w:cs="Arial" w:ascii="Times New Roman" w:hAnsi="Times New Roman"/>
                <w:b/>
                <w:bCs/>
                <w:color w:val="000000"/>
                <w:kern w:val="0"/>
                <w:sz w:val="24"/>
                <w:szCs w:val="24"/>
                <w:lang w:val="pt-BR" w:eastAsia="pt-BR" w:bidi="ar-SA"/>
              </w:rPr>
              <w:t>153.938,00</w:t>
            </w:r>
          </w:p>
        </w:tc>
      </w:tr>
    </w:tbl>
    <w:p>
      <w:pPr>
        <w:pStyle w:val="Nivel2"/>
        <w:numPr>
          <w:ilvl w:val="0"/>
          <w:numId w:val="0"/>
        </w:numPr>
        <w:ind w:left="999" w:right="0" w:hanging="0"/>
        <w:rPr>
          <w:rFonts w:ascii="Times New Roman" w:hAnsi="Times New Roman"/>
          <w:sz w:val="24"/>
          <w:szCs w:val="24"/>
        </w:rPr>
      </w:pPr>
      <w:r>
        <w:rPr>
          <w:rFonts w:ascii="Times New Roman" w:hAnsi="Times New Roman"/>
          <w:sz w:val="24"/>
          <w:szCs w:val="24"/>
        </w:rPr>
      </w:r>
    </w:p>
    <w:p>
      <w:pPr>
        <w:pStyle w:val="Nivel2"/>
        <w:numPr>
          <w:ilvl w:val="1"/>
          <w:numId w:val="159"/>
        </w:numPr>
        <w:ind w:left="0" w:right="0" w:hanging="0"/>
        <w:rPr>
          <w:rFonts w:ascii="Times New Roman" w:hAnsi="Times New Roman"/>
          <w:sz w:val="24"/>
          <w:szCs w:val="24"/>
        </w:rPr>
      </w:pPr>
      <w:r>
        <w:rPr>
          <w:rFonts w:ascii="Times New Roman" w:hAnsi="Times New Roman"/>
          <w:sz w:val="24"/>
          <w:szCs w:val="24"/>
        </w:rPr>
        <w:t>Os bens objeto desta contratação são caracterizados como comuns, conforme justificativa constante do Estudo Técnico Preliminar.</w:t>
      </w:r>
    </w:p>
    <w:p>
      <w:pPr>
        <w:pStyle w:val="Nivel2"/>
        <w:numPr>
          <w:ilvl w:val="1"/>
          <w:numId w:val="160"/>
        </w:numPr>
        <w:ind w:left="0" w:right="0" w:hanging="0"/>
        <w:rPr>
          <w:rFonts w:ascii="Times New Roman" w:hAnsi="Times New Roman"/>
          <w:sz w:val="24"/>
          <w:szCs w:val="24"/>
        </w:rPr>
      </w:pPr>
      <w:r>
        <w:rPr>
          <w:rFonts w:ascii="Times New Roman" w:hAnsi="Times New Roman"/>
          <w:sz w:val="24"/>
          <w:szCs w:val="24"/>
        </w:rPr>
        <w:t>O objeto desta contratação não se enquadra como sendo de bem de luxo, conforme Decreto nº 10.818, de 27 de setembro de 2021.</w:t>
      </w:r>
    </w:p>
    <w:p>
      <w:pPr>
        <w:pStyle w:val="Nivel2"/>
        <w:numPr>
          <w:ilvl w:val="1"/>
          <w:numId w:val="161"/>
        </w:numPr>
        <w:ind w:left="0" w:right="0" w:hanging="0"/>
        <w:rPr>
          <w:rFonts w:ascii="Times New Roman" w:hAnsi="Times New Roman"/>
          <w:sz w:val="24"/>
          <w:szCs w:val="24"/>
        </w:rPr>
      </w:pPr>
      <w:r>
        <w:rPr>
          <w:rFonts w:ascii="Times New Roman" w:hAnsi="Times New Roman"/>
          <w:i w:val="false"/>
          <w:iCs w:val="false"/>
          <w:color w:val="auto"/>
          <w:sz w:val="24"/>
          <w:szCs w:val="24"/>
          <w:u w:val="single"/>
        </w:rPr>
        <w:t xml:space="preserve">O prazo de vigência da contratação é de </w:t>
      </w:r>
      <w:r>
        <w:rPr>
          <w:rFonts w:eastAsia="Arial" w:cs="Arial" w:ascii="Times New Roman" w:hAnsi="Times New Roman"/>
          <w:i w:val="false"/>
          <w:iCs w:val="false"/>
          <w:color w:val="auto"/>
          <w:sz w:val="24"/>
          <w:szCs w:val="24"/>
          <w:u w:val="single"/>
          <w:lang w:eastAsia="pt-BR"/>
        </w:rPr>
        <w:t>12 (doze) meses</w:t>
      </w:r>
      <w:r>
        <w:rPr>
          <w:rFonts w:ascii="Times New Roman" w:hAnsi="Times New Roman"/>
          <w:i w:val="false"/>
          <w:iCs w:val="false"/>
          <w:color w:val="auto"/>
          <w:sz w:val="24"/>
          <w:szCs w:val="24"/>
          <w:u w:val="single"/>
        </w:rPr>
        <w:t xml:space="preserve"> contados da assinatura do Termo de Contrato, na forma do artigo 105 da Lei n° 14.133, de 2021.</w:t>
      </w:r>
    </w:p>
    <w:p>
      <w:pPr>
        <w:pStyle w:val="Nvel2Red"/>
        <w:numPr>
          <w:ilvl w:val="1"/>
          <w:numId w:val="162"/>
        </w:numPr>
        <w:ind w:left="0" w:right="0"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O contrato oferece maior detalhamento das regras que serão aplicadas em relação à vigência da contratação.</w:t>
      </w:r>
    </w:p>
    <w:p>
      <w:pPr>
        <w:pStyle w:val="Nivel2"/>
        <w:numPr>
          <w:ilvl w:val="1"/>
          <w:numId w:val="163"/>
        </w:numPr>
        <w:ind w:left="0" w:right="0" w:hanging="0"/>
        <w:rPr>
          <w:rFonts w:ascii="Times New Roman" w:hAnsi="Times New Roman"/>
          <w:sz w:val="24"/>
          <w:szCs w:val="24"/>
        </w:rPr>
      </w:pPr>
      <w:r>
        <w:rPr>
          <w:rFonts w:eastAsia="Arial" w:cs="Arial" w:ascii="Times New Roman" w:hAnsi="Times New Roman"/>
          <w:b w:val="false"/>
          <w:bCs w:val="false"/>
          <w:color w:val="000000"/>
          <w:kern w:val="0"/>
          <w:sz w:val="24"/>
          <w:szCs w:val="24"/>
          <w:u w:val="single"/>
          <w:lang w:val="pt-BR" w:eastAsia="pt-BR" w:bidi="ar-SA"/>
        </w:rPr>
        <w:t>N</w:t>
      </w:r>
      <w:r>
        <w:rPr>
          <w:rFonts w:cs="Arial" w:ascii="Times New Roman" w:hAnsi="Times New Roman"/>
          <w:sz w:val="24"/>
          <w:szCs w:val="24"/>
          <w:u w:val="single"/>
        </w:rPr>
        <w:t xml:space="preserve">ão há a fixação de cotas reservadas para Microempresas e Empresas de Pequeno Porte face à </w:t>
      </w:r>
      <w:r>
        <w:rPr>
          <w:rFonts w:eastAsia="Arial" w:cs="Arial" w:ascii="Times New Roman" w:hAnsi="Times New Roman"/>
          <w:b w:val="false"/>
          <w:bCs w:val="false"/>
          <w:color w:val="000000"/>
          <w:kern w:val="0"/>
          <w:sz w:val="24"/>
          <w:szCs w:val="24"/>
          <w:u w:val="single"/>
          <w:lang w:val="pt-BR" w:eastAsia="pt-BR" w:bidi="ar-SA"/>
        </w:rPr>
        <w:t>solução</w:t>
      </w:r>
      <w:r>
        <w:rPr>
          <w:rFonts w:cs="Arial" w:ascii="Times New Roman" w:hAnsi="Times New Roman"/>
          <w:sz w:val="24"/>
          <w:szCs w:val="24"/>
          <w:u w:val="single"/>
        </w:rPr>
        <w:t xml:space="preserve"> ser incompatível com a aplicação do benefício, tendo em vista a necessidade de instalação de reservatório de gás no local, sob regime de comodato, o que não permite a instalação por mais de uma empresa.</w:t>
      </w:r>
    </w:p>
    <w:p>
      <w:pPr>
        <w:pStyle w:val="Nivel2"/>
        <w:numPr>
          <w:ilvl w:val="0"/>
          <w:numId w:val="0"/>
        </w:numPr>
        <w:ind w:left="999" w:right="0" w:hanging="0"/>
        <w:rPr>
          <w:rFonts w:ascii="Times New Roman" w:hAnsi="Times New Roman"/>
          <w:sz w:val="24"/>
          <w:szCs w:val="24"/>
        </w:rPr>
      </w:pPr>
      <w:r>
        <w:rPr/>
      </w:r>
    </w:p>
    <w:p>
      <w:pPr>
        <w:pStyle w:val="Nivel01"/>
        <w:numPr>
          <w:ilvl w:val="0"/>
          <w:numId w:val="4"/>
        </w:numPr>
        <w:ind w:left="0" w:hanging="0"/>
        <w:rPr>
          <w:rFonts w:ascii="Times New Roman" w:hAnsi="Times New Roman"/>
          <w:sz w:val="24"/>
          <w:szCs w:val="24"/>
        </w:rPr>
      </w:pPr>
      <w:r>
        <w:rPr>
          <w:rFonts w:ascii="Times New Roman" w:hAnsi="Times New Roman"/>
          <w:sz w:val="24"/>
          <w:szCs w:val="24"/>
        </w:rPr>
        <w:t>FUNDAMENTAÇÃO E DESCRIÇÃO DA NECESSIDADE DA CONTRATAÇÃO</w:t>
      </w:r>
    </w:p>
    <w:p>
      <w:pPr>
        <w:pStyle w:val="Nivel2"/>
        <w:numPr>
          <w:ilvl w:val="1"/>
          <w:numId w:val="164"/>
        </w:numPr>
        <w:ind w:left="0" w:right="0" w:hanging="0"/>
        <w:rPr>
          <w:rFonts w:ascii="Times New Roman" w:hAnsi="Times New Roman"/>
          <w:sz w:val="24"/>
          <w:szCs w:val="24"/>
        </w:rPr>
      </w:pPr>
      <w:r>
        <w:rPr>
          <w:rFonts w:ascii="Times New Roman" w:hAnsi="Times New Roman"/>
          <w:sz w:val="24"/>
          <w:szCs w:val="24"/>
        </w:rPr>
        <w:t>A Fundamentação da Contratação e de seus quantitativos encontra-se pormenorizada em Tópico específico dos Estudos Técnicos Preliminares, apêndice deste Termo de Referência.</w:t>
      </w:r>
    </w:p>
    <w:p>
      <w:pPr>
        <w:pStyle w:val="Nvel2Red"/>
        <w:numPr>
          <w:ilvl w:val="1"/>
          <w:numId w:val="165"/>
        </w:numPr>
        <w:ind w:left="0" w:right="0" w:hanging="0"/>
        <w:rPr>
          <w:i w:val="false"/>
          <w:i w:val="false"/>
          <w:iCs w:val="false"/>
          <w:color w:val="auto"/>
          <w:shd w:fill="auto" w:val="clear"/>
        </w:rPr>
      </w:pPr>
      <w:r>
        <w:rPr>
          <w:rFonts w:ascii="Times New Roman" w:hAnsi="Times New Roman"/>
          <w:i w:val="false"/>
          <w:iCs w:val="false"/>
          <w:color w:val="000000"/>
          <w:sz w:val="24"/>
          <w:szCs w:val="24"/>
          <w:shd w:fill="auto" w:val="clear"/>
        </w:rPr>
        <w:t xml:space="preserve">O objeto da contratação está previsto no Plano de Contratações Anual </w:t>
      </w:r>
      <w:r>
        <w:rPr>
          <w:rFonts w:eastAsia="Arial" w:cs="Arial" w:ascii="Times New Roman" w:hAnsi="Times New Roman"/>
          <w:i w:val="false"/>
          <w:iCs w:val="false"/>
          <w:color w:val="000000"/>
          <w:kern w:val="0"/>
          <w:sz w:val="24"/>
          <w:szCs w:val="24"/>
          <w:u w:val="none"/>
          <w:shd w:fill="auto" w:val="clear"/>
          <w:lang w:val="pt-BR" w:eastAsia="pt-BR" w:bidi="ar-SA"/>
        </w:rPr>
        <w:t>2023</w:t>
      </w:r>
      <w:r>
        <w:rPr>
          <w:rFonts w:ascii="Times New Roman" w:hAnsi="Times New Roman"/>
          <w:i w:val="false"/>
          <w:iCs w:val="false"/>
          <w:color w:val="000000"/>
          <w:sz w:val="24"/>
          <w:szCs w:val="24"/>
          <w:shd w:fill="auto" w:val="clear"/>
        </w:rPr>
        <w:t>, conforme consta das informações básicas desse termo de referência.</w:t>
      </w:r>
    </w:p>
    <w:p>
      <w:pPr>
        <w:pStyle w:val="Nivel01"/>
        <w:numPr>
          <w:ilvl w:val="0"/>
          <w:numId w:val="4"/>
        </w:numPr>
        <w:ind w:left="0" w:hanging="0"/>
        <w:rPr>
          <w:rFonts w:ascii="Times New Roman" w:hAnsi="Times New Roman"/>
          <w:sz w:val="24"/>
          <w:szCs w:val="24"/>
        </w:rPr>
      </w:pPr>
      <w:r>
        <w:rPr>
          <w:rFonts w:ascii="Times New Roman" w:hAnsi="Times New Roman"/>
          <w:sz w:val="24"/>
          <w:szCs w:val="24"/>
        </w:rPr>
        <w:t>DESCRIÇÃO DA SOLUÇÃO COMO UM TODO CONSIDERADO O CICLO DE VIDA DO OBJETO E ESPECIFICAÇÃO DO PRODUTO</w:t>
      </w:r>
    </w:p>
    <w:p>
      <w:pPr>
        <w:pStyle w:val="Nvel2Red"/>
        <w:numPr>
          <w:ilvl w:val="1"/>
          <w:numId w:val="166"/>
        </w:numPr>
        <w:ind w:left="0" w:right="0" w:hanging="0"/>
        <w:rPr>
          <w:rFonts w:ascii="Times New Roman" w:hAnsi="Times New Roman"/>
          <w:sz w:val="24"/>
          <w:szCs w:val="24"/>
        </w:rPr>
      </w:pPr>
      <w:r>
        <w:rPr>
          <w:rFonts w:ascii="Times New Roman" w:hAnsi="Times New Roman"/>
          <w:i w:val="false"/>
          <w:iCs w:val="false"/>
          <w:color w:val="auto"/>
          <w:sz w:val="24"/>
          <w:szCs w:val="24"/>
        </w:rPr>
        <w:t>A descrição da solução como um todo encontra-se pormenorizada em tópico específico dos Estudos Técnicos Preliminares, apêndice deste Termo de Referência.</w:t>
      </w:r>
    </w:p>
    <w:p>
      <w:pPr>
        <w:pStyle w:val="Nivel01"/>
        <w:numPr>
          <w:ilvl w:val="0"/>
          <w:numId w:val="4"/>
        </w:numPr>
        <w:ind w:left="0" w:hanging="0"/>
        <w:rPr>
          <w:rFonts w:ascii="Times New Roman" w:hAnsi="Times New Roman"/>
          <w:sz w:val="24"/>
          <w:szCs w:val="24"/>
        </w:rPr>
      </w:pPr>
      <w:r>
        <w:rPr>
          <w:rFonts w:ascii="Times New Roman" w:hAnsi="Times New Roman"/>
          <w:sz w:val="24"/>
          <w:szCs w:val="24"/>
        </w:rPr>
        <w:t>REQUISITOS DA CONTRATAÇÃO</w:t>
      </w:r>
    </w:p>
    <w:p>
      <w:pPr>
        <w:pStyle w:val="Nvel1SemNumPreto"/>
        <w:rPr>
          <w:rFonts w:ascii="Times New Roman" w:hAnsi="Times New Roman"/>
          <w:sz w:val="24"/>
          <w:szCs w:val="24"/>
        </w:rPr>
      </w:pPr>
      <w:r>
        <w:rPr>
          <w:rFonts w:ascii="Times New Roman" w:hAnsi="Times New Roman"/>
          <w:sz w:val="24"/>
          <w:szCs w:val="24"/>
        </w:rPr>
        <w:t>Sustentabilidade:</w:t>
      </w:r>
    </w:p>
    <w:p>
      <w:pPr>
        <w:pStyle w:val="Nivel2"/>
        <w:widowControl/>
        <w:numPr>
          <w:ilvl w:val="1"/>
          <w:numId w:val="167"/>
        </w:numPr>
        <w:bidi w:val="0"/>
        <w:spacing w:lineRule="auto" w:line="276" w:before="120" w:after="120"/>
        <w:ind w:left="0" w:right="0" w:hanging="0"/>
        <w:contextualSpacing/>
        <w:jc w:val="both"/>
        <w:rPr>
          <w:rFonts w:ascii="Times New Roman" w:hAnsi="Times New Roman"/>
          <w:sz w:val="24"/>
          <w:szCs w:val="24"/>
        </w:rPr>
      </w:pPr>
      <w:r>
        <w:rPr>
          <w:rFonts w:eastAsia="Arial" w:cs="Arial" w:ascii="Times New Roman" w:hAnsi="Times New Roman"/>
          <w:color w:val="000000"/>
          <w:sz w:val="24"/>
          <w:szCs w:val="24"/>
          <w:lang w:eastAsia="pt-BR"/>
        </w:rPr>
        <w:t xml:space="preserve">Além dos critérios de sustentabilidade eventualmente inseridos na descrição do objeto, devem ser atendidos os seguintes requisitos, que se baseiam no Guia Nacional de Contratações Sustentáveis </w:t>
      </w:r>
      <w:r>
        <w:rPr>
          <w:rFonts w:eastAsia="Arial" w:cs="Arial" w:ascii="Times New Roman" w:hAnsi="Times New Roman"/>
          <w:color w:val="000000"/>
          <w:sz w:val="24"/>
          <w:szCs w:val="24"/>
          <w:u w:val="single"/>
          <w:lang w:eastAsia="pt-BR"/>
        </w:rPr>
        <w:t>(5ª Edição - Agosto de 2022, página 272):</w:t>
      </w:r>
    </w:p>
    <w:p>
      <w:pPr>
        <w:pStyle w:val="Nivel2"/>
        <w:numPr>
          <w:ilvl w:val="2"/>
          <w:numId w:val="168"/>
        </w:numPr>
        <w:ind w:left="0" w:right="0" w:hanging="0"/>
        <w:rPr>
          <w:rFonts w:ascii="Times New Roman" w:hAnsi="Times New Roman"/>
          <w:sz w:val="24"/>
          <w:szCs w:val="24"/>
        </w:rPr>
      </w:pPr>
      <w:r>
        <w:rPr>
          <w:rFonts w:cs="Arial" w:ascii="Times New Roman" w:hAnsi="Times New Roman"/>
          <w:sz w:val="24"/>
          <w:szCs w:val="24"/>
          <w:u w:val="single"/>
        </w:rPr>
        <w:t xml:space="preserve">Para a gestão e operação dos resíduos perigosos gerados a partir da presente contratação, a contratada deverá observar a Lei nº 12.305, de 2010 – Política Nacional de Resíduos Sólidos, Decreto nº 10.936, de 2022, e Instrução Normativa 1, 25/01/2013 – IBAMA. </w:t>
      </w:r>
    </w:p>
    <w:p>
      <w:pPr>
        <w:pStyle w:val="Nivel2"/>
        <w:numPr>
          <w:ilvl w:val="3"/>
          <w:numId w:val="169"/>
        </w:numPr>
        <w:ind w:left="0" w:right="0" w:hanging="0"/>
        <w:rPr>
          <w:rFonts w:ascii="Times New Roman" w:hAnsi="Times New Roman"/>
          <w:sz w:val="24"/>
          <w:szCs w:val="24"/>
        </w:rPr>
      </w:pPr>
      <w:r>
        <w:rPr>
          <w:rFonts w:cs="Arial" w:ascii="Times New Roman" w:hAnsi="Times New Roman"/>
          <w:sz w:val="24"/>
          <w:szCs w:val="24"/>
          <w:u w:val="single"/>
        </w:rPr>
        <w:t xml:space="preserve">estar regularmente cadastrada no Cadastro Nacional de Operadores de Resíduos Perigosos – CNORP, parte integrante do Cadastro Técnico Federal de Atividades Potencialmente Poluidoras ou Utilizadoras de Recursos Ambientais, conforme classificação do Anexo I da Instrução Normativa IBAMA nº 1, de 25/01/2013; </w:t>
      </w:r>
    </w:p>
    <w:p>
      <w:pPr>
        <w:pStyle w:val="Nivel2"/>
        <w:numPr>
          <w:ilvl w:val="3"/>
          <w:numId w:val="170"/>
        </w:numPr>
        <w:ind w:left="0" w:right="0" w:hanging="0"/>
        <w:rPr>
          <w:rFonts w:ascii="Times New Roman" w:hAnsi="Times New Roman"/>
          <w:sz w:val="24"/>
          <w:szCs w:val="24"/>
        </w:rPr>
      </w:pPr>
      <w:r>
        <w:rPr>
          <w:rFonts w:cs="Arial" w:ascii="Times New Roman" w:hAnsi="Times New Roman"/>
          <w:sz w:val="24"/>
          <w:szCs w:val="24"/>
          <w:u w:val="single"/>
        </w:rPr>
        <w:t xml:space="preserve">possuir plano de gerenciamento de resíduos sólidos aprovado pelo órgão competente e em conformidade com as exigências legais e normas pertinentes dos órgãos do SISNAMA, do SNVS e do SUASA; </w:t>
      </w:r>
    </w:p>
    <w:p>
      <w:pPr>
        <w:pStyle w:val="Nivel2"/>
        <w:numPr>
          <w:ilvl w:val="3"/>
          <w:numId w:val="171"/>
        </w:numPr>
        <w:ind w:left="0" w:right="0" w:hanging="0"/>
        <w:rPr>
          <w:rFonts w:ascii="Times New Roman" w:hAnsi="Times New Roman"/>
          <w:sz w:val="24"/>
          <w:szCs w:val="24"/>
        </w:rPr>
      </w:pPr>
      <w:r>
        <w:rPr>
          <w:rFonts w:cs="Arial" w:ascii="Times New Roman" w:hAnsi="Times New Roman"/>
          <w:sz w:val="24"/>
          <w:szCs w:val="24"/>
          <w:u w:val="single"/>
        </w:rPr>
        <w:t xml:space="preserve">possuir, caso exigível, autorização ou licenciamento junto ao órgão competente, que comprove, no mínimo, capacidade técnica , econômica e condições para prover os cuidados necessários ao gerenciamento desses resíduos. </w:t>
      </w:r>
    </w:p>
    <w:p>
      <w:pPr>
        <w:pStyle w:val="Nivel2"/>
        <w:numPr>
          <w:ilvl w:val="2"/>
          <w:numId w:val="172"/>
        </w:numPr>
        <w:ind w:left="0" w:right="0" w:hanging="0"/>
        <w:rPr>
          <w:rFonts w:ascii="Times New Roman" w:hAnsi="Times New Roman"/>
          <w:sz w:val="24"/>
          <w:szCs w:val="24"/>
        </w:rPr>
      </w:pPr>
      <w:r>
        <w:rPr>
          <w:rFonts w:cs="Arial" w:ascii="Times New Roman" w:hAnsi="Times New Roman"/>
          <w:sz w:val="24"/>
          <w:szCs w:val="24"/>
          <w:u w:val="single"/>
        </w:rPr>
        <w:t xml:space="preserve">A Contratada que também operar com resíduos perigosos, em qualquer fase do seu gerenciamento, nos termos da Lei nº 12.305, de 2010 – Política Nacional de Resíduos Sólidos, e Decreto nº 10.936, de 2022, deverá: </w:t>
      </w:r>
    </w:p>
    <w:p>
      <w:pPr>
        <w:pStyle w:val="Nivel2"/>
        <w:numPr>
          <w:ilvl w:val="3"/>
          <w:numId w:val="173"/>
        </w:numPr>
        <w:ind w:left="0" w:right="0" w:hanging="0"/>
        <w:rPr>
          <w:rFonts w:ascii="Times New Roman" w:hAnsi="Times New Roman"/>
          <w:sz w:val="24"/>
          <w:szCs w:val="24"/>
        </w:rPr>
      </w:pPr>
      <w:r>
        <w:rPr>
          <w:rFonts w:cs="Arial" w:ascii="Times New Roman" w:hAnsi="Times New Roman"/>
          <w:sz w:val="24"/>
          <w:szCs w:val="24"/>
          <w:u w:val="single"/>
        </w:rPr>
        <w:t xml:space="preserve">elaborar plano de gerenciamento de resíduos perigosos, a ser submetido ao órgão competente; </w:t>
      </w:r>
    </w:p>
    <w:p>
      <w:pPr>
        <w:pStyle w:val="Nivel2"/>
        <w:numPr>
          <w:ilvl w:val="3"/>
          <w:numId w:val="174"/>
        </w:numPr>
        <w:ind w:left="0" w:right="0" w:hanging="0"/>
        <w:rPr>
          <w:rFonts w:ascii="Times New Roman" w:hAnsi="Times New Roman"/>
          <w:sz w:val="24"/>
          <w:szCs w:val="24"/>
        </w:rPr>
      </w:pPr>
      <w:r>
        <w:rPr>
          <w:rFonts w:cs="Arial" w:ascii="Times New Roman" w:hAnsi="Times New Roman"/>
          <w:sz w:val="24"/>
          <w:szCs w:val="24"/>
          <w:u w:val="single"/>
        </w:rPr>
        <w:t xml:space="preserve">adotar medidas destinadas a reduzir o volume e a periculosidade dos resíduos sob sua responsabilidade, bem como a aperfeiçoar seu gerenciamento; </w:t>
      </w:r>
    </w:p>
    <w:p>
      <w:pPr>
        <w:pStyle w:val="Nivel2"/>
        <w:numPr>
          <w:ilvl w:val="3"/>
          <w:numId w:val="175"/>
        </w:numPr>
        <w:ind w:left="0" w:right="0" w:hanging="0"/>
        <w:rPr>
          <w:rFonts w:ascii="Times New Roman" w:hAnsi="Times New Roman"/>
          <w:sz w:val="24"/>
          <w:szCs w:val="24"/>
        </w:rPr>
      </w:pPr>
      <w:r>
        <w:rPr>
          <w:rFonts w:cs="Arial" w:ascii="Times New Roman" w:hAnsi="Times New Roman"/>
          <w:sz w:val="24"/>
          <w:szCs w:val="24"/>
          <w:u w:val="single"/>
        </w:rPr>
        <w:t>informar imediatamente aos órgãos competentes sobre a ocorrência de acidentes ou outros sinistros relacionados aos resíduos perigosos.</w:t>
      </w:r>
    </w:p>
    <w:p>
      <w:pPr>
        <w:pStyle w:val="Nvel1SemNum"/>
        <w:rPr>
          <w:rFonts w:ascii="Times New Roman" w:hAnsi="Times New Roman"/>
          <w:sz w:val="24"/>
          <w:szCs w:val="24"/>
        </w:rPr>
      </w:pPr>
      <w:r>
        <w:rPr>
          <w:rFonts w:ascii="Times New Roman" w:hAnsi="Times New Roman"/>
          <w:i w:val="false"/>
          <w:iCs w:val="false"/>
          <w:color w:val="auto"/>
          <w:sz w:val="24"/>
          <w:szCs w:val="24"/>
        </w:rPr>
        <w:t>Da exigência de carta de solidariedade</w:t>
      </w:r>
    </w:p>
    <w:p>
      <w:pPr>
        <w:pStyle w:val="Nvel2Red"/>
        <w:numPr>
          <w:ilvl w:val="1"/>
          <w:numId w:val="176"/>
        </w:numPr>
        <w:ind w:left="0" w:right="0" w:hanging="0"/>
        <w:rPr>
          <w:rFonts w:ascii="Times New Roman" w:hAnsi="Times New Roman"/>
          <w:sz w:val="24"/>
          <w:szCs w:val="24"/>
        </w:rPr>
      </w:pPr>
      <w:r>
        <w:rPr>
          <w:rFonts w:ascii="Times New Roman" w:hAnsi="Times New Roman"/>
          <w:i w:val="false"/>
          <w:iCs w:val="false"/>
          <w:color w:val="auto"/>
          <w:sz w:val="24"/>
          <w:szCs w:val="24"/>
        </w:rPr>
        <w:t>Em caso de fornecedor revendedor ou distribuidor, será exigida carta de solidariedade emitida pelo fabricante, que assegure a execução do contrato.</w:t>
      </w:r>
    </w:p>
    <w:p>
      <w:pPr>
        <w:pStyle w:val="Nvel1SemNumPreto"/>
        <w:rPr>
          <w:rFonts w:ascii="Times New Roman" w:hAnsi="Times New Roman"/>
          <w:sz w:val="24"/>
          <w:szCs w:val="24"/>
        </w:rPr>
      </w:pPr>
      <w:r>
        <w:rPr>
          <w:rFonts w:ascii="Times New Roman" w:hAnsi="Times New Roman"/>
          <w:sz w:val="24"/>
          <w:szCs w:val="24"/>
        </w:rPr>
        <w:t>Subcontratação</w:t>
      </w:r>
    </w:p>
    <w:p>
      <w:pPr>
        <w:pStyle w:val="Nivel2"/>
        <w:numPr>
          <w:ilvl w:val="1"/>
          <w:numId w:val="177"/>
        </w:numPr>
        <w:ind w:left="0" w:right="0" w:hanging="0"/>
        <w:rPr>
          <w:rFonts w:ascii="Times New Roman" w:hAnsi="Times New Roman"/>
          <w:sz w:val="24"/>
          <w:szCs w:val="24"/>
        </w:rPr>
      </w:pPr>
      <w:r>
        <w:rPr>
          <w:rFonts w:ascii="Times New Roman" w:hAnsi="Times New Roman"/>
          <w:sz w:val="24"/>
          <w:szCs w:val="24"/>
        </w:rPr>
        <w:t>Não é admitida a subcontratação do objeto contratual.</w:t>
      </w:r>
    </w:p>
    <w:p>
      <w:pPr>
        <w:pStyle w:val="Nvel1SemNumPreto"/>
        <w:rPr>
          <w:rFonts w:ascii="Times New Roman" w:hAnsi="Times New Roman"/>
          <w:sz w:val="24"/>
          <w:szCs w:val="24"/>
        </w:rPr>
      </w:pPr>
      <w:r>
        <w:rPr>
          <w:rFonts w:ascii="Times New Roman" w:hAnsi="Times New Roman"/>
          <w:sz w:val="24"/>
          <w:szCs w:val="24"/>
        </w:rPr>
        <w:t>Garantia da contratação</w:t>
      </w:r>
    </w:p>
    <w:p>
      <w:pPr>
        <w:pStyle w:val="Nvel2Red"/>
        <w:numPr>
          <w:ilvl w:val="1"/>
          <w:numId w:val="178"/>
        </w:numPr>
        <w:ind w:left="0" w:right="0" w:hanging="0"/>
        <w:rPr>
          <w:rFonts w:ascii="Times New Roman" w:hAnsi="Times New Roman"/>
          <w:sz w:val="24"/>
          <w:szCs w:val="24"/>
        </w:rPr>
      </w:pPr>
      <w:r>
        <w:rPr>
          <w:rFonts w:ascii="Times New Roman" w:hAnsi="Times New Roman"/>
          <w:i w:val="false"/>
          <w:iCs w:val="false"/>
          <w:color w:val="auto"/>
          <w:sz w:val="24"/>
          <w:szCs w:val="24"/>
        </w:rPr>
        <w:t>Não haverá exigência da garantia da contratação.</w:t>
      </w:r>
    </w:p>
    <w:p>
      <w:pPr>
        <w:pStyle w:val="Nivel01"/>
        <w:numPr>
          <w:ilvl w:val="0"/>
          <w:numId w:val="4"/>
        </w:numPr>
        <w:ind w:left="0" w:hanging="0"/>
        <w:rPr>
          <w:rFonts w:ascii="Times New Roman" w:hAnsi="Times New Roman"/>
          <w:sz w:val="24"/>
          <w:szCs w:val="24"/>
        </w:rPr>
      </w:pPr>
      <w:r>
        <w:rPr>
          <w:rFonts w:ascii="Times New Roman" w:hAnsi="Times New Roman"/>
          <w:sz w:val="24"/>
          <w:szCs w:val="24"/>
        </w:rPr>
        <w:t>MODELO DE EXECUÇÃO DO OBJETO</w:t>
      </w:r>
    </w:p>
    <w:p>
      <w:pPr>
        <w:pStyle w:val="Nvel1SemNum"/>
        <w:rPr>
          <w:rFonts w:ascii="Times New Roman" w:hAnsi="Times New Roman"/>
          <w:sz w:val="24"/>
          <w:szCs w:val="24"/>
        </w:rPr>
      </w:pPr>
      <w:r>
        <w:rPr>
          <w:rFonts w:ascii="Times New Roman" w:hAnsi="Times New Roman"/>
          <w:i w:val="false"/>
          <w:iCs w:val="false"/>
          <w:color w:val="auto"/>
          <w:sz w:val="24"/>
          <w:szCs w:val="24"/>
        </w:rPr>
        <w:t>Condições de Entrega</w:t>
      </w:r>
    </w:p>
    <w:p>
      <w:pPr>
        <w:pStyle w:val="Nvel2Red"/>
        <w:numPr>
          <w:ilvl w:val="1"/>
          <w:numId w:val="179"/>
        </w:numPr>
        <w:ind w:left="0" w:right="0" w:hanging="0"/>
        <w:rPr>
          <w:rFonts w:ascii="Times New Roman" w:hAnsi="Times New Roman"/>
          <w:sz w:val="24"/>
          <w:szCs w:val="24"/>
        </w:rPr>
      </w:pPr>
      <w:r>
        <w:rPr>
          <w:rFonts w:ascii="Times New Roman" w:hAnsi="Times New Roman"/>
          <w:i w:val="false"/>
          <w:iCs w:val="false"/>
          <w:color w:val="auto"/>
          <w:sz w:val="24"/>
          <w:szCs w:val="24"/>
          <w:u w:val="single"/>
        </w:rPr>
        <w:t xml:space="preserve">O prazo de entrega dos bens é de </w:t>
      </w:r>
      <w:r>
        <w:rPr>
          <w:rFonts w:eastAsia="Arial" w:cs="Arial" w:ascii="Times New Roman" w:hAnsi="Times New Roman"/>
          <w:i w:val="false"/>
          <w:iCs w:val="false"/>
          <w:color w:val="auto"/>
          <w:sz w:val="24"/>
          <w:szCs w:val="24"/>
          <w:u w:val="single"/>
          <w:lang w:eastAsia="pt-BR"/>
        </w:rPr>
        <w:t>10 (dez)</w:t>
      </w:r>
      <w:r>
        <w:rPr>
          <w:rFonts w:ascii="Times New Roman" w:hAnsi="Times New Roman"/>
          <w:i w:val="false"/>
          <w:iCs w:val="false"/>
          <w:color w:val="auto"/>
          <w:sz w:val="24"/>
          <w:szCs w:val="24"/>
          <w:u w:val="single"/>
        </w:rPr>
        <w:t xml:space="preserve"> dias, contados da assinatura do Termo de Contrato, </w:t>
      </w:r>
      <w:r>
        <w:rPr>
          <w:rFonts w:eastAsia="Arial" w:cs="Arial" w:ascii="Times New Roman" w:hAnsi="Times New Roman"/>
          <w:i w:val="false"/>
          <w:iCs w:val="false"/>
          <w:color w:val="auto"/>
          <w:sz w:val="24"/>
          <w:szCs w:val="24"/>
          <w:u w:val="single"/>
          <w:lang w:eastAsia="pt-BR"/>
        </w:rPr>
        <w:t>ocasião em que serão conectados no sistema de gás existente no Batalhão, pelo fornecedor, os reservatórios disponibilizados em regime de comodato, conforme contrato.</w:t>
      </w:r>
    </w:p>
    <w:p>
      <w:pPr>
        <w:pStyle w:val="Nvel2Red"/>
        <w:numPr>
          <w:ilvl w:val="1"/>
          <w:numId w:val="180"/>
        </w:numPr>
        <w:ind w:left="0" w:right="0" w:hanging="0"/>
        <w:rPr>
          <w:rFonts w:ascii="Times New Roman" w:hAnsi="Times New Roman"/>
          <w:sz w:val="24"/>
          <w:szCs w:val="24"/>
        </w:rPr>
      </w:pPr>
      <w:r>
        <w:rPr>
          <w:rFonts w:eastAsia="Arial" w:cs="Arial" w:ascii="Times New Roman" w:hAnsi="Times New Roman"/>
          <w:i w:val="false"/>
          <w:iCs w:val="false"/>
          <w:color w:val="auto"/>
          <w:sz w:val="24"/>
          <w:szCs w:val="24"/>
          <w:u w:val="single"/>
          <w:lang w:eastAsia="pt-BR"/>
        </w:rPr>
        <w:t>Após a primeira entrega, a contratada realizará recarga dos reservatórios até duas vezes por mês, conforme demanda do Setor de Aprovisionamento.</w:t>
      </w:r>
    </w:p>
    <w:p>
      <w:pPr>
        <w:pStyle w:val="Nvel2Red"/>
        <w:numPr>
          <w:ilvl w:val="1"/>
          <w:numId w:val="181"/>
        </w:numPr>
        <w:ind w:left="0" w:right="0" w:hanging="0"/>
        <w:rPr>
          <w:rFonts w:ascii="Times New Roman" w:hAnsi="Times New Roman"/>
          <w:sz w:val="24"/>
          <w:szCs w:val="24"/>
        </w:rPr>
      </w:pPr>
      <w:r>
        <w:rPr>
          <w:rFonts w:eastAsia="Arial" w:cs="Arial" w:ascii="Times New Roman" w:hAnsi="Times New Roman"/>
          <w:i w:val="false"/>
          <w:iCs w:val="false"/>
          <w:color w:val="auto"/>
          <w:sz w:val="24"/>
          <w:szCs w:val="24"/>
          <w:u w:val="single"/>
          <w:lang w:eastAsia="pt-BR"/>
        </w:rPr>
        <w:t>Para efeito de pagamento do gás consumido, será feita aferição com a presença do fiscal técnico do contrato no momento de todas as entregas realizadas, remetida posteriormente para a Fiscalização Administrativa da OM.</w:t>
      </w:r>
    </w:p>
    <w:p>
      <w:pPr>
        <w:pStyle w:val="Nvel2Red"/>
        <w:numPr>
          <w:ilvl w:val="1"/>
          <w:numId w:val="182"/>
        </w:numPr>
        <w:ind w:left="0" w:right="0" w:hanging="0"/>
        <w:rPr>
          <w:rFonts w:ascii="Times New Roman" w:hAnsi="Times New Roman"/>
          <w:sz w:val="24"/>
          <w:szCs w:val="24"/>
        </w:rPr>
      </w:pPr>
      <w:r>
        <w:rPr>
          <w:rFonts w:ascii="Times New Roman" w:hAnsi="Times New Roman"/>
          <w:i w:val="false"/>
          <w:iCs w:val="false"/>
          <w:color w:val="auto"/>
          <w:sz w:val="24"/>
          <w:szCs w:val="24"/>
        </w:rPr>
        <w:t xml:space="preserve">Caso não seja possível a entrega na data assinalada, a empresa deverá comunicar as razões respectivas com pelo menos </w:t>
      </w:r>
      <w:r>
        <w:rPr>
          <w:rFonts w:ascii="Times New Roman" w:hAnsi="Times New Roman"/>
          <w:i w:val="false"/>
          <w:iCs w:val="false"/>
          <w:color w:val="auto"/>
          <w:sz w:val="24"/>
          <w:szCs w:val="24"/>
          <w:u w:val="single"/>
        </w:rPr>
        <w:t>3 (</w:t>
      </w:r>
      <w:r>
        <w:rPr>
          <w:rFonts w:eastAsia="Arial" w:cs="Arial" w:ascii="Times New Roman" w:hAnsi="Times New Roman"/>
          <w:i w:val="false"/>
          <w:iCs w:val="false"/>
          <w:color w:val="auto"/>
          <w:sz w:val="24"/>
          <w:szCs w:val="24"/>
          <w:u w:val="single"/>
          <w:lang w:eastAsia="pt-BR"/>
        </w:rPr>
        <w:t>três</w:t>
      </w:r>
      <w:r>
        <w:rPr>
          <w:rFonts w:ascii="Times New Roman" w:hAnsi="Times New Roman"/>
          <w:i w:val="false"/>
          <w:iCs w:val="false"/>
          <w:color w:val="auto"/>
          <w:sz w:val="24"/>
          <w:szCs w:val="24"/>
          <w:u w:val="single"/>
        </w:rPr>
        <w:t xml:space="preserve">) </w:t>
      </w:r>
      <w:r>
        <w:rPr>
          <w:rFonts w:ascii="Times New Roman" w:hAnsi="Times New Roman"/>
          <w:i w:val="false"/>
          <w:iCs w:val="false"/>
          <w:color w:val="auto"/>
          <w:sz w:val="24"/>
          <w:szCs w:val="24"/>
        </w:rPr>
        <w:t>dias de antecedência para que qualquer pleito de prorrogação de prazo seja analisado, ressalvadas situações de caso fortuito e força maior.</w:t>
      </w:r>
    </w:p>
    <w:p>
      <w:pPr>
        <w:pStyle w:val="Nivel2"/>
        <w:numPr>
          <w:ilvl w:val="1"/>
          <w:numId w:val="183"/>
        </w:numPr>
        <w:ind w:left="0" w:right="0" w:hanging="0"/>
        <w:rPr>
          <w:rFonts w:ascii="Times New Roman" w:hAnsi="Times New Roman"/>
          <w:sz w:val="24"/>
          <w:szCs w:val="24"/>
        </w:rPr>
      </w:pPr>
      <w:r>
        <w:rPr>
          <w:rFonts w:ascii="Times New Roman" w:hAnsi="Times New Roman"/>
          <w:sz w:val="24"/>
          <w:szCs w:val="24"/>
        </w:rPr>
        <w:t>Os bens deverão ser entregues no seguinte endereço: 32º Batalhão de Infantaria Leve de Montanha – Rua Duque de Caxias, s/nº, Petrópolis-RJ – Setor de Aprovisionamento (Rancho).</w:t>
      </w:r>
    </w:p>
    <w:p>
      <w:pPr>
        <w:pStyle w:val="Nvel1SemNumPreto"/>
        <w:rPr>
          <w:rFonts w:ascii="Times New Roman" w:hAnsi="Times New Roman"/>
          <w:sz w:val="24"/>
          <w:szCs w:val="24"/>
        </w:rPr>
      </w:pPr>
      <w:r>
        <w:rPr>
          <w:rFonts w:ascii="Times New Roman" w:hAnsi="Times New Roman"/>
          <w:sz w:val="24"/>
          <w:szCs w:val="24"/>
        </w:rPr>
        <w:t>Garantia, manutenção e assistência técnica</w:t>
      </w:r>
    </w:p>
    <w:p>
      <w:pPr>
        <w:pStyle w:val="Nvel2Red"/>
        <w:numPr>
          <w:ilvl w:val="1"/>
          <w:numId w:val="184"/>
        </w:numPr>
        <w:ind w:left="0" w:right="0" w:hanging="0"/>
        <w:rPr>
          <w:rFonts w:ascii="Times New Roman" w:hAnsi="Times New Roman"/>
          <w:sz w:val="24"/>
          <w:szCs w:val="24"/>
        </w:rPr>
      </w:pPr>
      <w:r>
        <w:rPr>
          <w:rFonts w:ascii="Times New Roman" w:hAnsi="Times New Roman"/>
          <w:i w:val="false"/>
          <w:iCs w:val="false"/>
          <w:color w:val="auto"/>
          <w:sz w:val="24"/>
          <w:szCs w:val="24"/>
        </w:rPr>
        <w:t xml:space="preserve">A garantia abrange a realização da manutenção corretiva dos </w:t>
      </w:r>
      <w:r>
        <w:rPr>
          <w:rFonts w:eastAsia="Arial" w:cs="Arial" w:ascii="Times New Roman" w:hAnsi="Times New Roman"/>
          <w:i w:val="false"/>
          <w:iCs w:val="false"/>
          <w:color w:val="auto"/>
          <w:sz w:val="24"/>
          <w:szCs w:val="24"/>
          <w:u w:val="none"/>
          <w:lang w:eastAsia="pt-BR"/>
        </w:rPr>
        <w:t>reservatórios</w:t>
      </w:r>
      <w:r>
        <w:rPr>
          <w:rFonts w:ascii="Times New Roman" w:hAnsi="Times New Roman"/>
          <w:i w:val="false"/>
          <w:iCs w:val="false"/>
          <w:color w:val="auto"/>
          <w:sz w:val="24"/>
          <w:szCs w:val="24"/>
        </w:rPr>
        <w:t xml:space="preserve"> pelo próprio Contratado, ou, se for o caso, por meio de assistência técnica autorizada, de acordo com as normas técnicas específicas. </w:t>
      </w:r>
    </w:p>
    <w:p>
      <w:pPr>
        <w:pStyle w:val="Nvel2Red"/>
        <w:numPr>
          <w:ilvl w:val="1"/>
          <w:numId w:val="185"/>
        </w:numPr>
        <w:ind w:left="0" w:right="0" w:hanging="0"/>
        <w:rPr>
          <w:rFonts w:ascii="Times New Roman" w:hAnsi="Times New Roman"/>
          <w:sz w:val="24"/>
          <w:szCs w:val="24"/>
        </w:rPr>
      </w:pPr>
      <w:r>
        <w:rPr>
          <w:rFonts w:ascii="Times New Roman" w:hAnsi="Times New Roman"/>
          <w:i w:val="false"/>
          <w:iCs w:val="false"/>
          <w:color w:val="auto"/>
          <w:sz w:val="24"/>
          <w:szCs w:val="24"/>
        </w:rPr>
        <w:t xml:space="preserve">Entende-se por manutenção corretiva aquela destinada a corrigir os defeitos apresentados pelos bens, compreendendo a substituição de peças, a realização de ajustes, reparos e correções necessárias. </w:t>
      </w:r>
    </w:p>
    <w:p>
      <w:pPr>
        <w:pStyle w:val="Nvel2Red"/>
        <w:numPr>
          <w:ilvl w:val="1"/>
          <w:numId w:val="186"/>
        </w:numPr>
        <w:ind w:left="0" w:right="0" w:hanging="0"/>
        <w:rPr>
          <w:rFonts w:ascii="Times New Roman" w:hAnsi="Times New Roman"/>
          <w:sz w:val="24"/>
          <w:szCs w:val="24"/>
        </w:rPr>
      </w:pPr>
      <w:r>
        <w:rPr>
          <w:rFonts w:ascii="Times New Roman" w:hAnsi="Times New Roman"/>
          <w:i w:val="false"/>
          <w:iCs w:val="false"/>
          <w:color w:val="auto"/>
          <w:sz w:val="24"/>
          <w:szCs w:val="24"/>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pPr>
        <w:pStyle w:val="Nvel2Red"/>
        <w:numPr>
          <w:ilvl w:val="1"/>
          <w:numId w:val="187"/>
        </w:numPr>
        <w:ind w:left="0" w:right="0" w:hanging="0"/>
        <w:rPr>
          <w:rFonts w:ascii="Times New Roman" w:hAnsi="Times New Roman"/>
          <w:sz w:val="24"/>
          <w:szCs w:val="24"/>
        </w:rPr>
      </w:pPr>
      <w:r>
        <w:rPr>
          <w:rFonts w:ascii="Times New Roman" w:hAnsi="Times New Roman"/>
          <w:i w:val="false"/>
          <w:iCs w:val="false"/>
          <w:color w:val="auto"/>
          <w:sz w:val="24"/>
          <w:szCs w:val="24"/>
        </w:rPr>
        <w:t xml:space="preserve">Uma vez notificado, o Contratado realizará a reparação ou substituição dos bens que apresentarem vício ou defeito no prazo de até </w:t>
      </w:r>
      <w:r>
        <w:rPr>
          <w:rFonts w:eastAsia="Arial" w:cs="Arial" w:ascii="Times New Roman" w:hAnsi="Times New Roman"/>
          <w:i w:val="false"/>
          <w:iCs w:val="false"/>
          <w:color w:val="auto"/>
          <w:sz w:val="24"/>
          <w:szCs w:val="24"/>
          <w:u w:val="single"/>
          <w:lang w:eastAsia="pt-BR"/>
        </w:rPr>
        <w:t>2</w:t>
      </w:r>
      <w:r>
        <w:rPr>
          <w:rFonts w:ascii="Times New Roman" w:hAnsi="Times New Roman"/>
          <w:i w:val="false"/>
          <w:iCs w:val="false"/>
          <w:color w:val="auto"/>
          <w:sz w:val="24"/>
          <w:szCs w:val="24"/>
          <w:u w:val="single"/>
        </w:rPr>
        <w:t xml:space="preserve"> (</w:t>
      </w:r>
      <w:r>
        <w:rPr>
          <w:rFonts w:eastAsia="Arial" w:cs="Arial" w:ascii="Times New Roman" w:hAnsi="Times New Roman"/>
          <w:i w:val="false"/>
          <w:iCs w:val="false"/>
          <w:color w:val="auto"/>
          <w:sz w:val="24"/>
          <w:szCs w:val="24"/>
          <w:u w:val="single"/>
          <w:lang w:eastAsia="pt-BR"/>
        </w:rPr>
        <w:t>dois</w:t>
      </w:r>
      <w:r>
        <w:rPr>
          <w:rFonts w:ascii="Times New Roman" w:hAnsi="Times New Roman"/>
          <w:i w:val="false"/>
          <w:iCs w:val="false"/>
          <w:color w:val="auto"/>
          <w:sz w:val="24"/>
          <w:szCs w:val="24"/>
          <w:u w:val="single"/>
        </w:rPr>
        <w:t xml:space="preserve">) </w:t>
      </w:r>
      <w:r>
        <w:rPr>
          <w:rFonts w:ascii="Times New Roman" w:hAnsi="Times New Roman"/>
          <w:i w:val="false"/>
          <w:iCs w:val="false"/>
          <w:color w:val="auto"/>
          <w:sz w:val="24"/>
          <w:szCs w:val="24"/>
        </w:rPr>
        <w:t xml:space="preserve">dias úteis, contados a partir da data de retirada do equipamento das dependências da Administração pelo Contratado ou pela assistência técnica autorizada. </w:t>
      </w:r>
    </w:p>
    <w:p>
      <w:pPr>
        <w:pStyle w:val="Nvel2Red"/>
        <w:numPr>
          <w:ilvl w:val="1"/>
          <w:numId w:val="188"/>
        </w:numPr>
        <w:ind w:left="0" w:right="0" w:hanging="0"/>
        <w:rPr>
          <w:rFonts w:ascii="Times New Roman" w:hAnsi="Times New Roman"/>
          <w:sz w:val="24"/>
          <w:szCs w:val="24"/>
        </w:rPr>
      </w:pPr>
      <w:r>
        <w:rPr>
          <w:rFonts w:ascii="Times New Roman" w:hAnsi="Times New Roman"/>
          <w:i w:val="false"/>
          <w:iCs w:val="false"/>
          <w:color w:val="auto"/>
          <w:sz w:val="24"/>
          <w:szCs w:val="24"/>
        </w:rPr>
        <w:t xml:space="preserve">O prazo indicado no subitem anterior, durante seu transcurso, poderá ser prorrogado uma única vez, por igual período, mediante solicitação escrita e justificada do Contratado, aceita pelo Contratante. </w:t>
      </w:r>
    </w:p>
    <w:p>
      <w:pPr>
        <w:pStyle w:val="Nvel2Red"/>
        <w:numPr>
          <w:ilvl w:val="1"/>
          <w:numId w:val="189"/>
        </w:numPr>
        <w:ind w:left="0" w:right="0" w:hanging="0"/>
        <w:rPr>
          <w:rFonts w:ascii="Times New Roman" w:hAnsi="Times New Roman"/>
          <w:sz w:val="24"/>
          <w:szCs w:val="24"/>
        </w:rPr>
      </w:pPr>
      <w:r>
        <w:rPr>
          <w:rFonts w:ascii="Times New Roman" w:hAnsi="Times New Roman"/>
          <w:i w:val="false"/>
          <w:iCs w:val="false"/>
          <w:color w:val="auto"/>
          <w:sz w:val="24"/>
          <w:szCs w:val="24"/>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pPr>
        <w:pStyle w:val="Nvel2Red"/>
        <w:numPr>
          <w:ilvl w:val="1"/>
          <w:numId w:val="190"/>
        </w:numPr>
        <w:ind w:left="0" w:right="0" w:hanging="0"/>
        <w:rPr>
          <w:rFonts w:ascii="Times New Roman" w:hAnsi="Times New Roman"/>
          <w:sz w:val="24"/>
          <w:szCs w:val="24"/>
        </w:rPr>
      </w:pPr>
      <w:r>
        <w:rPr>
          <w:rFonts w:ascii="Times New Roman" w:hAnsi="Times New Roman"/>
          <w:i w:val="false"/>
          <w:iCs w:val="false"/>
          <w:color w:val="auto"/>
          <w:sz w:val="24"/>
          <w:szCs w:val="24"/>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pPr>
        <w:pStyle w:val="Nvel2Red"/>
        <w:numPr>
          <w:ilvl w:val="1"/>
          <w:numId w:val="191"/>
        </w:numPr>
        <w:ind w:left="0" w:right="0" w:hanging="0"/>
        <w:rPr>
          <w:rFonts w:ascii="Times New Roman" w:hAnsi="Times New Roman"/>
          <w:sz w:val="24"/>
          <w:szCs w:val="24"/>
        </w:rPr>
      </w:pPr>
      <w:r>
        <w:rPr>
          <w:rFonts w:ascii="Times New Roman" w:hAnsi="Times New Roman"/>
          <w:i w:val="false"/>
          <w:iCs w:val="false"/>
          <w:color w:val="auto"/>
          <w:sz w:val="24"/>
          <w:szCs w:val="24"/>
        </w:rPr>
        <w:t xml:space="preserve">O custo referente ao transporte dos equipamentos cobertos pela garantia será de responsabilidade do Contratado. </w:t>
      </w:r>
    </w:p>
    <w:p>
      <w:pPr>
        <w:pStyle w:val="Nvel2Red"/>
        <w:numPr>
          <w:ilvl w:val="1"/>
          <w:numId w:val="192"/>
        </w:numPr>
        <w:ind w:left="0" w:right="0" w:hanging="0"/>
        <w:rPr>
          <w:rFonts w:ascii="Times New Roman" w:hAnsi="Times New Roman"/>
          <w:sz w:val="24"/>
          <w:szCs w:val="24"/>
        </w:rPr>
      </w:pPr>
      <w:r>
        <w:rPr>
          <w:rFonts w:ascii="Times New Roman" w:hAnsi="Times New Roman"/>
          <w:i w:val="false"/>
          <w:iCs w:val="false"/>
          <w:color w:val="auto"/>
          <w:sz w:val="24"/>
          <w:szCs w:val="24"/>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pPr>
        <w:pStyle w:val="Nivel01"/>
        <w:numPr>
          <w:ilvl w:val="0"/>
          <w:numId w:val="4"/>
        </w:numPr>
        <w:ind w:left="0" w:hanging="0"/>
        <w:rPr>
          <w:rFonts w:ascii="Times New Roman" w:hAnsi="Times New Roman"/>
          <w:sz w:val="24"/>
          <w:szCs w:val="24"/>
        </w:rPr>
      </w:pPr>
      <w:r>
        <w:rPr>
          <w:rFonts w:ascii="Times New Roman" w:hAnsi="Times New Roman"/>
          <w:sz w:val="24"/>
          <w:szCs w:val="24"/>
        </w:rPr>
        <w:t>MODELO DE GESTÃO DO CONTRATO</w:t>
      </w:r>
    </w:p>
    <w:p>
      <w:pPr>
        <w:pStyle w:val="Nivel2"/>
        <w:numPr>
          <w:ilvl w:val="1"/>
          <w:numId w:val="193"/>
        </w:numPr>
        <w:ind w:left="0" w:right="0" w:hanging="0"/>
        <w:rPr>
          <w:rFonts w:ascii="Times New Roman" w:hAnsi="Times New Roman"/>
          <w:sz w:val="24"/>
          <w:szCs w:val="24"/>
        </w:rPr>
      </w:pPr>
      <w:r>
        <w:rPr>
          <w:rFonts w:ascii="Times New Roman" w:hAnsi="Times New Roman"/>
          <w:sz w:val="24"/>
          <w:szCs w:val="24"/>
        </w:rPr>
        <w:t>O contrato deverá ser executado fielmente pelas partes, de acordo com as cláusulas avençadas e as normas da Lei nº 14.133, de 2021, e cada parte responderá pelas consequências de sua inexecução total ou parcial.</w:t>
      </w:r>
    </w:p>
    <w:p>
      <w:pPr>
        <w:pStyle w:val="Nivel2"/>
        <w:numPr>
          <w:ilvl w:val="1"/>
          <w:numId w:val="194"/>
        </w:numPr>
        <w:ind w:left="0" w:right="0" w:hanging="0"/>
        <w:rPr>
          <w:rFonts w:ascii="Times New Roman" w:hAnsi="Times New Roman"/>
          <w:sz w:val="24"/>
          <w:szCs w:val="24"/>
        </w:rPr>
      </w:pPr>
      <w:r>
        <w:rPr>
          <w:rFonts w:ascii="Times New Roman" w:hAnsi="Times New Roman"/>
          <w:sz w:val="24"/>
          <w:szCs w:val="24"/>
        </w:rPr>
        <w:t>Em caso de impedimento, ordem de paralisação ou suspensão do contrato, o cronograma de execução será prorrogado automaticamente pelo tempo correspondente, anotadas tais circunstâncias mediante simples apostila.</w:t>
      </w:r>
    </w:p>
    <w:p>
      <w:pPr>
        <w:pStyle w:val="Nivel2"/>
        <w:numPr>
          <w:ilvl w:val="1"/>
          <w:numId w:val="195"/>
        </w:numPr>
        <w:ind w:left="0" w:right="0" w:hanging="0"/>
        <w:rPr>
          <w:rFonts w:ascii="Times New Roman" w:hAnsi="Times New Roman"/>
          <w:sz w:val="24"/>
          <w:szCs w:val="24"/>
        </w:rPr>
      </w:pPr>
      <w:r>
        <w:rPr>
          <w:rFonts w:ascii="Times New Roman" w:hAnsi="Times New Roman"/>
          <w:sz w:val="24"/>
          <w:szCs w:val="24"/>
        </w:rPr>
        <w:t>As comunicações entre o órgão ou entidade e a contratada devem ser realizadas por escrito sempre que o ato exigir tal formalidade, admitindo-se o uso de mensagem eletrônica para esse fim.</w:t>
      </w:r>
    </w:p>
    <w:p>
      <w:pPr>
        <w:pStyle w:val="Nivel2"/>
        <w:numPr>
          <w:ilvl w:val="1"/>
          <w:numId w:val="196"/>
        </w:numPr>
        <w:ind w:left="0" w:right="0" w:hanging="0"/>
        <w:rPr>
          <w:rFonts w:ascii="Times New Roman" w:hAnsi="Times New Roman"/>
          <w:sz w:val="24"/>
          <w:szCs w:val="24"/>
        </w:rPr>
      </w:pPr>
      <w:r>
        <w:rPr>
          <w:rFonts w:ascii="Times New Roman" w:hAnsi="Times New Roman"/>
          <w:sz w:val="24"/>
          <w:szCs w:val="24"/>
        </w:rPr>
        <w:t>O órgão ou entidade poderá convocar representante da empresa para adoção de providências que devam ser cumpridas de imediato.</w:t>
      </w:r>
    </w:p>
    <w:p>
      <w:pPr>
        <w:pStyle w:val="Nivel2"/>
        <w:numPr>
          <w:ilvl w:val="1"/>
          <w:numId w:val="197"/>
        </w:numPr>
        <w:ind w:left="0" w:right="0" w:hanging="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Após a assinatura do contrato ou instrumento equivalente</w:t>
      </w:r>
      <w:r>
        <w:rPr>
          <w:rFonts w:ascii="Times New Roman" w:hAnsi="Times New Roman"/>
          <w:strike/>
          <w:sz w:val="24"/>
          <w:szCs w:val="24"/>
        </w:rPr>
        <w:t>,</w:t>
      </w:r>
      <w:r>
        <w:rPr>
          <w:rFonts w:ascii="Times New Roman" w:hAnsi="Times New Roman"/>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ivel2"/>
        <w:numPr>
          <w:ilvl w:val="0"/>
          <w:numId w:val="0"/>
        </w:numPr>
        <w:ind w:left="0" w:right="0" w:hanging="0"/>
        <w:rPr>
          <w:rFonts w:ascii="Times New Roman" w:hAnsi="Times New Roman"/>
          <w:sz w:val="24"/>
          <w:szCs w:val="24"/>
        </w:rPr>
      </w:pPr>
      <w:r>
        <w:rPr>
          <w:rFonts w:ascii="Times New Roman" w:hAnsi="Times New Roman"/>
          <w:sz w:val="24"/>
          <w:szCs w:val="24"/>
        </w:rPr>
        <w:t>Fiscalização</w:t>
      </w:r>
    </w:p>
    <w:p>
      <w:pPr>
        <w:pStyle w:val="Nivel2"/>
        <w:numPr>
          <w:ilvl w:val="1"/>
          <w:numId w:val="198"/>
        </w:numPr>
        <w:ind w:left="0" w:right="0" w:hanging="0"/>
        <w:rPr/>
      </w:pPr>
      <w:r>
        <w:rPr>
          <w:rFonts w:ascii="Times New Roman" w:hAnsi="Times New Roman"/>
          <w:sz w:val="24"/>
          <w:szCs w:val="24"/>
        </w:rPr>
        <w:t>A execução do contrato deverá ser acompanhada e fiscalizada pelo fiscal do contrato, ou pelo respectivo substituto (</w:t>
      </w:r>
      <w:r>
        <w:fldChar w:fldCharType="begin"/>
      </w:r>
      <w:r>
        <w:rPr>
          <w:rStyle w:val="LinkdaInternet"/>
          <w:sz w:val="24"/>
          <w:szCs w:val="24"/>
          <w:rFonts w:ascii="Times New Roman" w:hAnsi="Times New Roman"/>
        </w:rPr>
        <w:instrText> HYPERLINK "http://www.planalto.gov.br/ccivil_03/_ato2019-2022/2021/lei/L14133.htm" \l "art117"</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Lei nº 14.133, de 2021, art. 117, caput</w:t>
      </w:r>
      <w:r>
        <w:rPr>
          <w:rStyle w:val="LinkdaInternet"/>
          <w:sz w:val="24"/>
          <w:szCs w:val="24"/>
          <w:rFonts w:ascii="Times New Roman" w:hAnsi="Times New Roman"/>
        </w:rPr>
        <w:fldChar w:fldCharType="end"/>
      </w:r>
      <w:r>
        <w:rPr>
          <w:rFonts w:ascii="Times New Roman" w:hAnsi="Times New Roman"/>
          <w:sz w:val="24"/>
          <w:szCs w:val="24"/>
        </w:rPr>
        <w:t>).</w:t>
      </w:r>
    </w:p>
    <w:p>
      <w:pPr>
        <w:pStyle w:val="Nvel1SemNumPreto"/>
        <w:rPr>
          <w:rFonts w:ascii="Times New Roman" w:hAnsi="Times New Roman"/>
          <w:sz w:val="24"/>
          <w:szCs w:val="24"/>
        </w:rPr>
      </w:pPr>
      <w:r>
        <w:rPr>
          <w:rFonts w:ascii="Times New Roman" w:hAnsi="Times New Roman"/>
          <w:sz w:val="24"/>
          <w:szCs w:val="24"/>
        </w:rPr>
        <w:t>Fiscalização Técnica</w:t>
      </w:r>
    </w:p>
    <w:p>
      <w:pPr>
        <w:pStyle w:val="Nivel2"/>
        <w:numPr>
          <w:ilvl w:val="1"/>
          <w:numId w:val="199"/>
        </w:numPr>
        <w:ind w:left="0" w:right="0" w:hanging="0"/>
        <w:rPr>
          <w:rFonts w:ascii="Times New Roman" w:hAnsi="Times New Roman"/>
          <w:sz w:val="24"/>
          <w:szCs w:val="24"/>
        </w:rPr>
      </w:pPr>
      <w:r>
        <w:rPr>
          <w:rFonts w:ascii="Times New Roman" w:hAnsi="Times New Roman"/>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pPr>
        <w:pStyle w:val="Nivel3"/>
        <w:numPr>
          <w:ilvl w:val="2"/>
          <w:numId w:val="200"/>
        </w:numPr>
        <w:ind w:left="284" w:hanging="0"/>
        <w:rPr/>
      </w:pPr>
      <w:r>
        <w:rPr>
          <w:rFonts w:ascii="Times New Roman" w:hAnsi="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r>
        <w:fldChar w:fldCharType="begin"/>
      </w:r>
      <w:r>
        <w:rPr>
          <w:rStyle w:val="LinkdaInternet"/>
          <w:sz w:val="24"/>
          <w:szCs w:val="24"/>
          <w:rFonts w:ascii="Times New Roman" w:hAnsi="Times New Roman"/>
        </w:rPr>
        <w:instrText> HYPERLINK "http://www.planalto.gov.br/ccivil_03/_ato2019-2022/2021/lei/L14133.htm" \l "art117§1"</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Lei nº 14.133, de 2021, art. 117, §1º</w:t>
      </w:r>
      <w:r>
        <w:rPr>
          <w:rStyle w:val="LinkdaInternet"/>
          <w:sz w:val="24"/>
          <w:szCs w:val="24"/>
          <w:rFonts w:ascii="Times New Roman" w:hAnsi="Times New Roman"/>
        </w:rPr>
        <w:fldChar w:fldCharType="end"/>
      </w:r>
      <w:r>
        <w:rPr>
          <w:rFonts w:ascii="Times New Roman" w:hAnsi="Times New Roman"/>
          <w:sz w:val="24"/>
          <w:szCs w:val="24"/>
        </w:rPr>
        <w:t xml:space="preserve">, e </w:t>
      </w:r>
      <w:r>
        <w:fldChar w:fldCharType="begin"/>
      </w:r>
      <w:r>
        <w:rPr>
          <w:rStyle w:val="LinkdaInternet"/>
          <w:sz w:val="24"/>
          <w:szCs w:val="24"/>
          <w:rFonts w:ascii="Times New Roman" w:hAnsi="Times New Roman"/>
        </w:rPr>
        <w:instrText> HYPERLINK "https://www.planalto.gov.br/ccivil_03/_ato2019-2022/2022/Decreto/D11246.htm" \l "art22"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Decreto nº 11.246, de 2022, art. 22, II);</w:t>
      </w:r>
      <w:r>
        <w:rPr>
          <w:rStyle w:val="LinkdaInternet"/>
          <w:sz w:val="24"/>
          <w:szCs w:val="24"/>
          <w:rFonts w:ascii="Times New Roman" w:hAnsi="Times New Roman"/>
        </w:rPr>
        <w:fldChar w:fldCharType="end"/>
      </w:r>
    </w:p>
    <w:p>
      <w:pPr>
        <w:pStyle w:val="Nivel3"/>
        <w:numPr>
          <w:ilvl w:val="2"/>
          <w:numId w:val="201"/>
        </w:numPr>
        <w:ind w:left="284" w:hanging="0"/>
        <w:rPr/>
      </w:pPr>
      <w:r>
        <w:rPr>
          <w:rFonts w:ascii="Times New Roman" w:hAnsi="Times New Roman"/>
          <w:sz w:val="24"/>
          <w:szCs w:val="24"/>
        </w:rPr>
        <w:t>Identificada qualquer inexatidão ou irregularidade, o fiscal técnico do contrato emitirá notificações para a correção da execução do contrato, determinando prazo para a correção. (</w:t>
      </w:r>
      <w:r>
        <w:fldChar w:fldCharType="begin"/>
      </w:r>
      <w:r>
        <w:rPr>
          <w:rStyle w:val="LinkdaInternet"/>
          <w:sz w:val="24"/>
          <w:szCs w:val="24"/>
          <w:rFonts w:ascii="Times New Roman" w:hAnsi="Times New Roman"/>
        </w:rPr>
        <w:instrText> HYPERLINK "https://www.planalto.gov.br/ccivil_03/_ato2019-2022/2022/Decreto/D11246.htm" \l "art22"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Decreto nº 11.246, de 2022, art. 22, III</w:t>
      </w:r>
      <w:r>
        <w:rPr>
          <w:rStyle w:val="LinkdaInternet"/>
          <w:sz w:val="24"/>
          <w:szCs w:val="24"/>
          <w:rFonts w:ascii="Times New Roman" w:hAnsi="Times New Roman"/>
        </w:rPr>
        <w:fldChar w:fldCharType="end"/>
      </w:r>
      <w:r>
        <w:rPr>
          <w:rFonts w:ascii="Times New Roman" w:hAnsi="Times New Roman"/>
          <w:sz w:val="24"/>
          <w:szCs w:val="24"/>
        </w:rPr>
        <w:t xml:space="preserve">); </w:t>
      </w:r>
    </w:p>
    <w:p>
      <w:pPr>
        <w:pStyle w:val="Nivel3"/>
        <w:numPr>
          <w:ilvl w:val="2"/>
          <w:numId w:val="202"/>
        </w:numPr>
        <w:ind w:left="284" w:hanging="0"/>
        <w:rPr/>
      </w:pPr>
      <w:r>
        <w:rPr>
          <w:rFonts w:ascii="Times New Roman" w:hAnsi="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 (</w:t>
      </w:r>
      <w:r>
        <w:fldChar w:fldCharType="begin"/>
      </w:r>
      <w:r>
        <w:rPr>
          <w:rStyle w:val="LinkdaInternet"/>
          <w:sz w:val="24"/>
          <w:szCs w:val="24"/>
          <w:rFonts w:ascii="Times New Roman" w:hAnsi="Times New Roman"/>
        </w:rPr>
        <w:instrText> HYPERLINK "https://www.planalto.gov.br/ccivil_03/_ato2019-2022/2022/Decreto/D11246.htm" \l "art22"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Decreto nº 11.246, de 2022, art. 22, IV</w:t>
      </w:r>
      <w:r>
        <w:rPr>
          <w:rStyle w:val="LinkdaInternet"/>
          <w:sz w:val="24"/>
          <w:szCs w:val="24"/>
          <w:rFonts w:ascii="Times New Roman" w:hAnsi="Times New Roman"/>
        </w:rPr>
        <w:fldChar w:fldCharType="end"/>
      </w:r>
      <w:r>
        <w:rPr>
          <w:rFonts w:ascii="Times New Roman" w:hAnsi="Times New Roman"/>
          <w:sz w:val="24"/>
          <w:szCs w:val="24"/>
        </w:rPr>
        <w:t>).</w:t>
      </w:r>
    </w:p>
    <w:p>
      <w:pPr>
        <w:pStyle w:val="Nivel3"/>
        <w:numPr>
          <w:ilvl w:val="2"/>
          <w:numId w:val="203"/>
        </w:numPr>
        <w:ind w:left="284" w:hanging="0"/>
        <w:rPr/>
      </w:pPr>
      <w:r>
        <w:rPr>
          <w:rFonts w:ascii="Times New Roman" w:hAnsi="Times New Roman"/>
          <w:sz w:val="24"/>
          <w:szCs w:val="24"/>
        </w:rPr>
        <w:t>No caso de ocorrências que possam inviabilizar a execução do contrato nas datas aprazadas, o fiscal técnico do contrato comunicará o fato imediatamente ao gestor do contrato. (</w:t>
      </w:r>
      <w:r>
        <w:fldChar w:fldCharType="begin"/>
      </w:r>
      <w:r>
        <w:rPr>
          <w:rStyle w:val="LinkdaInternet"/>
          <w:sz w:val="24"/>
          <w:szCs w:val="24"/>
          <w:rFonts w:ascii="Times New Roman" w:hAnsi="Times New Roman"/>
        </w:rPr>
        <w:instrText> HYPERLINK "https://www.planalto.gov.br/ccivil_03/_ato2019-2022/2022/Decreto/D11246.htm" \l "art22"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Decreto nº 11.246, de 2022, art. 22, V</w:t>
      </w:r>
      <w:r>
        <w:rPr>
          <w:rStyle w:val="LinkdaInternet"/>
          <w:sz w:val="24"/>
          <w:szCs w:val="24"/>
          <w:rFonts w:ascii="Times New Roman" w:hAnsi="Times New Roman"/>
        </w:rPr>
        <w:fldChar w:fldCharType="end"/>
      </w:r>
      <w:r>
        <w:rPr>
          <w:rFonts w:ascii="Times New Roman" w:hAnsi="Times New Roman"/>
          <w:sz w:val="24"/>
          <w:szCs w:val="24"/>
        </w:rPr>
        <w:t>).</w:t>
      </w:r>
    </w:p>
    <w:p>
      <w:pPr>
        <w:pStyle w:val="Nivel3"/>
        <w:numPr>
          <w:ilvl w:val="2"/>
          <w:numId w:val="204"/>
        </w:numPr>
        <w:ind w:left="284" w:hanging="0"/>
        <w:rPr/>
      </w:pPr>
      <w:r>
        <w:rPr>
          <w:rFonts w:ascii="Times New Roman" w:hAnsi="Times New Roman"/>
          <w:sz w:val="24"/>
          <w:szCs w:val="24"/>
        </w:rPr>
        <w:t xml:space="preserve">O fiscal técnico do contrato comunicará ao gestor do contrato, em tempo hábil, o término do contrato sob sua responsabilidade, com vistas à renovação tempestiva ou à prorrogação contratual </w:t>
      </w:r>
      <w:r>
        <w:fldChar w:fldCharType="begin"/>
      </w:r>
      <w:r>
        <w:rPr>
          <w:rStyle w:val="LinkdaInternet"/>
          <w:sz w:val="24"/>
          <w:szCs w:val="24"/>
          <w:rFonts w:ascii="Times New Roman" w:hAnsi="Times New Roman"/>
        </w:rPr>
        <w:instrText> HYPERLINK "https://www.planalto.gov.br/ccivil_03/_ato2019-2022/2022/Decreto/D11246.htm" \l "art22"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(Decreto nº 11.246, de 2022, art. 22, VII</w:t>
      </w:r>
      <w:r>
        <w:rPr>
          <w:rStyle w:val="LinkdaInternet"/>
          <w:sz w:val="24"/>
          <w:szCs w:val="24"/>
          <w:rFonts w:ascii="Times New Roman" w:hAnsi="Times New Roman"/>
        </w:rPr>
        <w:fldChar w:fldCharType="end"/>
      </w:r>
      <w:r>
        <w:rPr>
          <w:rFonts w:ascii="Times New Roman" w:hAnsi="Times New Roman"/>
          <w:sz w:val="24"/>
          <w:szCs w:val="24"/>
        </w:rPr>
        <w:t>).</w:t>
      </w:r>
    </w:p>
    <w:p>
      <w:pPr>
        <w:pStyle w:val="Nivel3"/>
        <w:numPr>
          <w:ilvl w:val="0"/>
          <w:numId w:val="0"/>
        </w:numPr>
        <w:ind w:left="0" w:hanging="0"/>
        <w:rPr>
          <w:rFonts w:ascii="Times New Roman" w:hAnsi="Times New Roman"/>
          <w:sz w:val="24"/>
          <w:szCs w:val="24"/>
        </w:rPr>
      </w:pPr>
      <w:r>
        <w:rPr>
          <w:rFonts w:ascii="Times New Roman" w:hAnsi="Times New Roman"/>
          <w:sz w:val="24"/>
          <w:szCs w:val="24"/>
        </w:rPr>
        <w:t>Fiscalização Administrativa</w:t>
      </w:r>
    </w:p>
    <w:p>
      <w:pPr>
        <w:pStyle w:val="Nivel2"/>
        <w:numPr>
          <w:ilvl w:val="1"/>
          <w:numId w:val="205"/>
        </w:numPr>
        <w:ind w:left="0" w:right="0" w:hanging="0"/>
        <w:rPr/>
      </w:pPr>
      <w:r>
        <w:rPr>
          <w:rFonts w:ascii="Times New Roman" w:hAnsi="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fldChar w:fldCharType="begin"/>
      </w:r>
      <w:r>
        <w:rPr>
          <w:rStyle w:val="LinkdaInternet"/>
          <w:sz w:val="24"/>
          <w:szCs w:val="24"/>
          <w:rFonts w:ascii="Times New Roman" w:hAnsi="Times New Roman"/>
        </w:rPr>
        <w:instrText> HYPERLINK "https://www.planalto.gov.br/ccivil_03/_ato2019-2022/2022/Decreto/D11246.htm" \l "art23"</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23, I e II, do Decreto nº 11.246, de 2022</w:t>
      </w:r>
      <w:r>
        <w:rPr>
          <w:rStyle w:val="LinkdaInternet"/>
          <w:sz w:val="24"/>
          <w:szCs w:val="24"/>
          <w:rFonts w:ascii="Times New Roman" w:hAnsi="Times New Roman"/>
        </w:rPr>
        <w:fldChar w:fldCharType="end"/>
      </w:r>
      <w:r>
        <w:rPr>
          <w:rFonts w:ascii="Times New Roman" w:hAnsi="Times New Roman"/>
          <w:sz w:val="24"/>
          <w:szCs w:val="24"/>
        </w:rPr>
        <w:t>).</w:t>
      </w:r>
    </w:p>
    <w:p>
      <w:pPr>
        <w:pStyle w:val="Nivel3"/>
        <w:numPr>
          <w:ilvl w:val="2"/>
          <w:numId w:val="206"/>
        </w:numPr>
        <w:ind w:left="284" w:hanging="0"/>
        <w:rPr/>
      </w:pPr>
      <w:r>
        <w:rPr>
          <w:rFonts w:ascii="Times New Roman" w:hAnsi="Times New Roman"/>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 (</w:t>
      </w:r>
      <w:r>
        <w:fldChar w:fldCharType="begin"/>
      </w:r>
      <w:r>
        <w:rPr>
          <w:rStyle w:val="LinkdaInternet"/>
          <w:sz w:val="24"/>
          <w:szCs w:val="24"/>
          <w:rFonts w:ascii="Times New Roman" w:hAnsi="Times New Roman"/>
        </w:rPr>
        <w:instrText> HYPERLINK "https://www.planalto.gov.br/ccivil_03/_ato2019-2022/2022/Decreto/D11246.htm" \l "art23"</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Decreto nº 11.246, de 2022, art. 23, IV</w:t>
      </w:r>
      <w:r>
        <w:rPr>
          <w:rStyle w:val="LinkdaInternet"/>
          <w:sz w:val="24"/>
          <w:szCs w:val="24"/>
          <w:rFonts w:ascii="Times New Roman" w:hAnsi="Times New Roman"/>
        </w:rPr>
        <w:fldChar w:fldCharType="end"/>
      </w:r>
      <w:r>
        <w:rPr>
          <w:rFonts w:ascii="Times New Roman" w:hAnsi="Times New Roman"/>
          <w:sz w:val="24"/>
          <w:szCs w:val="24"/>
        </w:rPr>
        <w:t>).</w:t>
      </w:r>
    </w:p>
    <w:p>
      <w:pPr>
        <w:pStyle w:val="Nvel1SemNumPreto"/>
        <w:rPr>
          <w:rFonts w:ascii="Times New Roman" w:hAnsi="Times New Roman"/>
          <w:sz w:val="24"/>
          <w:szCs w:val="24"/>
        </w:rPr>
      </w:pPr>
      <w:r>
        <w:rPr>
          <w:rFonts w:ascii="Times New Roman" w:hAnsi="Times New Roman"/>
          <w:sz w:val="24"/>
          <w:szCs w:val="24"/>
        </w:rPr>
        <w:t>Gestor do Contrato</w:t>
      </w:r>
    </w:p>
    <w:p>
      <w:pPr>
        <w:pStyle w:val="Nivel2"/>
        <w:numPr>
          <w:ilvl w:val="1"/>
          <w:numId w:val="207"/>
        </w:numPr>
        <w:ind w:left="0" w:right="0" w:hanging="0"/>
        <w:rPr>
          <w:rFonts w:ascii="Times New Roman" w:hAnsi="Times New Roman"/>
          <w:sz w:val="24"/>
          <w:szCs w:val="24"/>
        </w:rPr>
      </w:pPr>
      <w:r>
        <w:rPr>
          <w:rFonts w:ascii="Times New Roman" w:hAnsi="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2"/>
        <w:numPr>
          <w:ilvl w:val="1"/>
          <w:numId w:val="208"/>
        </w:numPr>
        <w:ind w:left="0" w:right="0" w:hanging="0"/>
        <w:rPr>
          <w:rFonts w:ascii="Times New Roman" w:hAnsi="Times New Roman"/>
          <w:sz w:val="24"/>
          <w:szCs w:val="24"/>
        </w:rPr>
      </w:pPr>
      <w:r>
        <w:rPr>
          <w:rFonts w:ascii="Times New Roman" w:hAnsi="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ivel2"/>
        <w:numPr>
          <w:ilvl w:val="1"/>
          <w:numId w:val="209"/>
        </w:numPr>
        <w:ind w:left="0" w:right="0" w:hanging="0"/>
        <w:rPr>
          <w:rFonts w:ascii="Times New Roman" w:hAnsi="Times New Roman"/>
          <w:sz w:val="24"/>
          <w:szCs w:val="24"/>
        </w:rPr>
      </w:pPr>
      <w:r>
        <w:rPr>
          <w:rFonts w:ascii="Times New Roman" w:hAnsi="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2"/>
        <w:numPr>
          <w:ilvl w:val="1"/>
          <w:numId w:val="210"/>
        </w:numPr>
        <w:ind w:left="0" w:right="0" w:hanging="0"/>
        <w:rPr>
          <w:rFonts w:ascii="Times New Roman" w:hAnsi="Times New Roman"/>
          <w:sz w:val="24"/>
          <w:szCs w:val="24"/>
        </w:rPr>
      </w:pPr>
      <w:r>
        <w:rPr>
          <w:rFonts w:ascii="Times New Roman" w:hAnsi="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2"/>
        <w:numPr>
          <w:ilvl w:val="1"/>
          <w:numId w:val="211"/>
        </w:numPr>
        <w:ind w:left="0" w:right="0" w:hanging="0"/>
        <w:rPr>
          <w:rFonts w:ascii="Times New Roman" w:hAnsi="Times New Roman"/>
          <w:sz w:val="24"/>
          <w:szCs w:val="24"/>
        </w:rPr>
      </w:pPr>
      <w:r>
        <w:rPr>
          <w:rFonts w:ascii="Times New Roman" w:hAnsi="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ivel2"/>
        <w:numPr>
          <w:ilvl w:val="1"/>
          <w:numId w:val="212"/>
        </w:numPr>
        <w:ind w:left="0" w:right="0" w:hanging="0"/>
        <w:rPr>
          <w:rFonts w:ascii="Times New Roman" w:hAnsi="Times New Roman"/>
          <w:sz w:val="24"/>
          <w:szCs w:val="24"/>
        </w:rPr>
      </w:pPr>
      <w:r>
        <w:rPr>
          <w:rFonts w:ascii="Times New Roman" w:hAnsi="Times New Roman"/>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ivel2"/>
        <w:numPr>
          <w:ilvl w:val="1"/>
          <w:numId w:val="213"/>
        </w:numPr>
        <w:ind w:left="0" w:right="0" w:hanging="0"/>
        <w:rPr>
          <w:rFonts w:ascii="Times New Roman" w:hAnsi="Times New Roman"/>
          <w:sz w:val="24"/>
          <w:szCs w:val="24"/>
        </w:rPr>
      </w:pPr>
      <w:r>
        <w:rPr>
          <w:rFonts w:ascii="Times New Roman" w:hAnsi="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pPr>
        <w:pStyle w:val="Nivel01"/>
        <w:numPr>
          <w:ilvl w:val="0"/>
          <w:numId w:val="4"/>
        </w:numPr>
        <w:ind w:left="0" w:hanging="0"/>
        <w:rPr>
          <w:rFonts w:ascii="Times New Roman" w:hAnsi="Times New Roman"/>
          <w:sz w:val="24"/>
          <w:szCs w:val="24"/>
        </w:rPr>
      </w:pPr>
      <w:r>
        <w:rPr>
          <w:rFonts w:ascii="Times New Roman" w:hAnsi="Times New Roman"/>
          <w:sz w:val="24"/>
          <w:szCs w:val="24"/>
        </w:rPr>
        <w:t>CRITÉRIOS DE MEDIÇÃO E DE PAGAMENTO</w:t>
      </w:r>
    </w:p>
    <w:p>
      <w:pPr>
        <w:pStyle w:val="Nvel1SemNumPreto"/>
        <w:rPr>
          <w:rFonts w:ascii="Times New Roman" w:hAnsi="Times New Roman"/>
          <w:sz w:val="24"/>
          <w:szCs w:val="24"/>
        </w:rPr>
      </w:pPr>
      <w:r>
        <w:rPr>
          <w:rFonts w:ascii="Times New Roman" w:hAnsi="Times New Roman"/>
          <w:sz w:val="24"/>
          <w:szCs w:val="24"/>
        </w:rPr>
        <w:t>Recebimento</w:t>
      </w:r>
    </w:p>
    <w:p>
      <w:pPr>
        <w:pStyle w:val="Nivel2"/>
        <w:numPr>
          <w:ilvl w:val="1"/>
          <w:numId w:val="214"/>
        </w:numPr>
        <w:ind w:left="0" w:right="0" w:hanging="0"/>
        <w:rPr>
          <w:rFonts w:ascii="Times New Roman" w:hAnsi="Times New Roman"/>
          <w:sz w:val="24"/>
          <w:szCs w:val="24"/>
        </w:rPr>
      </w:pPr>
      <w:r>
        <w:rPr>
          <w:rFonts w:ascii="Times New Roman" w:hAnsi="Times New Roman"/>
          <w:sz w:val="24"/>
          <w:szCs w:val="24"/>
          <w:lang w:eastAsia="en-US"/>
        </w:rPr>
        <w:t xml:space="preserve">Os bens serão recebidos provisoriamente, de forma sumária, no ato da entrega, juntamente com a </w:t>
      </w:r>
      <w:r>
        <w:rPr>
          <w:rFonts w:eastAsia="Calibri" w:ascii="Times New Roman" w:hAnsi="Times New Roman"/>
          <w:sz w:val="24"/>
          <w:szCs w:val="24"/>
          <w:lang w:eastAsia="en-US"/>
        </w:rPr>
        <w:t>nota</w:t>
      </w:r>
      <w:r>
        <w:rPr>
          <w:rFonts w:ascii="Times New Roman" w:hAnsi="Times New Roman"/>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Pr>
          <w:rFonts w:ascii="Times New Roman" w:hAnsi="Times New Roman"/>
          <w:color w:val="FF0000"/>
          <w:sz w:val="24"/>
          <w:szCs w:val="24"/>
          <w:lang w:eastAsia="en-US"/>
        </w:rPr>
        <w:t xml:space="preserve"> </w:t>
      </w:r>
      <w:r>
        <w:rPr>
          <w:rFonts w:ascii="Times New Roman" w:hAnsi="Times New Roman"/>
          <w:sz w:val="24"/>
          <w:szCs w:val="24"/>
          <w:lang w:eastAsia="en-US"/>
        </w:rPr>
        <w:t>e na proposta.</w:t>
      </w:r>
    </w:p>
    <w:p>
      <w:pPr>
        <w:pStyle w:val="Nivel2"/>
        <w:numPr>
          <w:ilvl w:val="1"/>
          <w:numId w:val="215"/>
        </w:numPr>
        <w:ind w:left="0" w:right="0" w:hanging="0"/>
        <w:rPr>
          <w:rFonts w:ascii="Times New Roman" w:hAnsi="Times New Roman"/>
          <w:sz w:val="24"/>
          <w:szCs w:val="24"/>
        </w:rPr>
      </w:pPr>
      <w:r>
        <w:rPr>
          <w:rFonts w:ascii="Times New Roman" w:hAnsi="Times New Roman"/>
          <w:sz w:val="24"/>
          <w:szCs w:val="24"/>
          <w:lang w:eastAsia="en-US"/>
        </w:rPr>
        <w:t>Os bens poderão ser rejeitados, no todo ou em parte, inclusive antes do recebimento provisório, quando em desacordo com as especificações constantes no Termo de Referência</w:t>
      </w:r>
      <w:r>
        <w:rPr>
          <w:rFonts w:ascii="Times New Roman" w:hAnsi="Times New Roman"/>
          <w:color w:val="FF0000"/>
          <w:sz w:val="24"/>
          <w:szCs w:val="24"/>
          <w:lang w:eastAsia="en-US"/>
        </w:rPr>
        <w:t xml:space="preserve"> </w:t>
      </w:r>
      <w:r>
        <w:rPr>
          <w:rFonts w:ascii="Times New Roman" w:hAnsi="Times New Roman"/>
          <w:sz w:val="24"/>
          <w:szCs w:val="24"/>
          <w:lang w:eastAsia="en-US"/>
        </w:rPr>
        <w:t>e na proposta, devendo ser substituídos no pra</w:t>
      </w:r>
      <w:r>
        <w:rPr>
          <w:rFonts w:ascii="Times New Roman" w:hAnsi="Times New Roman"/>
          <w:color w:val="auto"/>
          <w:sz w:val="24"/>
          <w:szCs w:val="24"/>
          <w:lang w:eastAsia="en-US"/>
        </w:rPr>
        <w:t xml:space="preserve">zo de </w:t>
      </w:r>
      <w:r>
        <w:rPr>
          <w:rFonts w:eastAsia="Arial" w:cs="Arial" w:ascii="Times New Roman" w:hAnsi="Times New Roman"/>
          <w:color w:val="auto"/>
          <w:sz w:val="24"/>
          <w:szCs w:val="24"/>
          <w:u w:val="none"/>
          <w:lang w:eastAsia="en-US"/>
        </w:rPr>
        <w:t>5</w:t>
      </w:r>
      <w:r>
        <w:rPr>
          <w:rFonts w:ascii="Times New Roman" w:hAnsi="Times New Roman"/>
          <w:color w:val="auto"/>
          <w:sz w:val="24"/>
          <w:szCs w:val="24"/>
          <w:lang w:eastAsia="en-US"/>
        </w:rPr>
        <w:t xml:space="preserve"> (</w:t>
      </w:r>
      <w:r>
        <w:rPr>
          <w:rFonts w:eastAsia="Arial" w:cs="Arial" w:ascii="Times New Roman" w:hAnsi="Times New Roman"/>
          <w:color w:val="auto"/>
          <w:sz w:val="24"/>
          <w:szCs w:val="24"/>
          <w:u w:val="none"/>
          <w:lang w:eastAsia="en-US"/>
        </w:rPr>
        <w:t>cinco</w:t>
      </w:r>
      <w:r>
        <w:rPr>
          <w:rFonts w:ascii="Times New Roman" w:hAnsi="Times New Roman"/>
          <w:color w:val="auto"/>
          <w:sz w:val="24"/>
          <w:szCs w:val="24"/>
          <w:lang w:eastAsia="en-US"/>
        </w:rPr>
        <w:t>) dia</w:t>
      </w:r>
      <w:r>
        <w:rPr>
          <w:rFonts w:ascii="Times New Roman" w:hAnsi="Times New Roman"/>
          <w:sz w:val="24"/>
          <w:szCs w:val="24"/>
          <w:lang w:eastAsia="en-US"/>
        </w:rPr>
        <w:t>s úteis, a contar da notificação da contratada, às suas custas, sem prejuízo da aplicação das penalidades.</w:t>
      </w:r>
    </w:p>
    <w:p>
      <w:pPr>
        <w:pStyle w:val="Nivel2"/>
        <w:numPr>
          <w:ilvl w:val="1"/>
          <w:numId w:val="216"/>
        </w:numPr>
        <w:ind w:left="0" w:right="0" w:hanging="0"/>
        <w:rPr>
          <w:rFonts w:ascii="Times New Roman" w:hAnsi="Times New Roman"/>
          <w:sz w:val="24"/>
          <w:szCs w:val="24"/>
        </w:rPr>
      </w:pPr>
      <w:r>
        <w:rPr>
          <w:rFonts w:ascii="Times New Roman" w:hAnsi="Times New Roman"/>
          <w:color w:val="auto"/>
          <w:sz w:val="24"/>
          <w:szCs w:val="24"/>
          <w:lang w:eastAsia="en-US"/>
        </w:rPr>
        <w:t xml:space="preserve">O recebimento definitivo ocorrerá no prazo de </w:t>
      </w:r>
      <w:r>
        <w:rPr>
          <w:rFonts w:eastAsia="Arial" w:cs="Arial" w:ascii="Times New Roman" w:hAnsi="Times New Roman"/>
          <w:color w:val="auto"/>
          <w:sz w:val="24"/>
          <w:szCs w:val="24"/>
          <w:u w:val="none"/>
          <w:lang w:eastAsia="en-US"/>
        </w:rPr>
        <w:t xml:space="preserve">10 </w:t>
      </w:r>
      <w:r>
        <w:rPr>
          <w:rFonts w:ascii="Times New Roman" w:hAnsi="Times New Roman"/>
          <w:color w:val="auto"/>
          <w:sz w:val="24"/>
          <w:szCs w:val="24"/>
          <w:lang w:eastAsia="en-US"/>
        </w:rPr>
        <w:t>(</w:t>
      </w:r>
      <w:r>
        <w:rPr>
          <w:rFonts w:eastAsia="Arial" w:cs="Arial" w:ascii="Times New Roman" w:hAnsi="Times New Roman"/>
          <w:color w:val="auto"/>
          <w:sz w:val="24"/>
          <w:szCs w:val="24"/>
          <w:u w:val="none"/>
          <w:lang w:eastAsia="en-US"/>
        </w:rPr>
        <w:t>dez</w:t>
      </w:r>
      <w:r>
        <w:rPr>
          <w:rFonts w:ascii="Times New Roman" w:hAnsi="Times New Roman"/>
          <w:color w:val="auto"/>
          <w:sz w:val="24"/>
          <w:szCs w:val="24"/>
          <w:lang w:eastAsia="en-US"/>
        </w:rPr>
        <w:t>) dias úteis, a contar do recebimento da nota fiscal ou instrumento de cobrança equivalente pela Administração, após a verificação da qualidade e quantidade do material e consequente aceitação mediante termo detalhado.</w:t>
      </w:r>
    </w:p>
    <w:p>
      <w:pPr>
        <w:pStyle w:val="Nivel2"/>
        <w:numPr>
          <w:ilvl w:val="1"/>
          <w:numId w:val="217"/>
        </w:numPr>
        <w:ind w:left="0" w:right="0" w:hanging="0"/>
        <w:rPr/>
      </w:pPr>
      <w:r>
        <w:rPr>
          <w:rFonts w:ascii="Times New Roman" w:hAnsi="Times New Roman"/>
          <w:color w:val="auto"/>
          <w:sz w:val="24"/>
          <w:szCs w:val="24"/>
          <w:lang w:eastAsia="en-US"/>
        </w:rPr>
        <w:t xml:space="preserve">Para as contratações decorrentes de despesas cujos valores não ultrapassem o limite de que trata o </w:t>
      </w:r>
      <w:r>
        <w:fldChar w:fldCharType="begin"/>
      </w:r>
      <w:r>
        <w:rPr>
          <w:rStyle w:val="LinkdaInternet"/>
          <w:sz w:val="24"/>
          <w:szCs w:val="24"/>
          <w:rFonts w:ascii="Times New Roman" w:hAnsi="Times New Roman"/>
          <w:color w:val="auto"/>
          <w:lang w:eastAsia="en-US"/>
        </w:rPr>
        <w:instrText> HYPERLINK "http://www.planalto.gov.br/ccivil_03/_ato2019-2022/2021/lei/L14133.htm" \l "art75"</w:instrText>
      </w:r>
      <w:r>
        <w:rPr>
          <w:rStyle w:val="LinkdaInternet"/>
          <w:sz w:val="24"/>
          <w:szCs w:val="24"/>
          <w:rFonts w:ascii="Times New Roman" w:hAnsi="Times New Roman"/>
          <w:color w:val="auto"/>
          <w:lang w:eastAsia="en-US"/>
        </w:rPr>
        <w:fldChar w:fldCharType="separate"/>
      </w:r>
      <w:r>
        <w:rPr>
          <w:rStyle w:val="LinkdaInternet"/>
          <w:rFonts w:ascii="Times New Roman" w:hAnsi="Times New Roman"/>
          <w:color w:val="auto"/>
          <w:sz w:val="24"/>
          <w:szCs w:val="24"/>
          <w:lang w:eastAsia="en-US"/>
        </w:rPr>
        <w:t>inciso II do art. 75 da Lei nº 14.133, de 2021</w:t>
      </w:r>
      <w:r>
        <w:rPr>
          <w:rStyle w:val="LinkdaInternet"/>
          <w:sz w:val="24"/>
          <w:szCs w:val="24"/>
          <w:rFonts w:ascii="Times New Roman" w:hAnsi="Times New Roman"/>
          <w:color w:val="auto"/>
          <w:lang w:eastAsia="en-US"/>
        </w:rPr>
        <w:fldChar w:fldCharType="end"/>
      </w:r>
      <w:r>
        <w:rPr>
          <w:rFonts w:ascii="Times New Roman" w:hAnsi="Times New Roman"/>
          <w:color w:val="auto"/>
          <w:sz w:val="24"/>
          <w:szCs w:val="24"/>
          <w:lang w:eastAsia="en-US"/>
        </w:rPr>
        <w:t xml:space="preserve">, o prazo máximo para o recebimento definitivo será de até </w:t>
      </w:r>
      <w:r>
        <w:rPr>
          <w:rFonts w:eastAsia="Arial" w:cs="Arial" w:ascii="Times New Roman" w:hAnsi="Times New Roman"/>
          <w:color w:val="auto"/>
          <w:sz w:val="24"/>
          <w:szCs w:val="24"/>
          <w:u w:val="none"/>
          <w:lang w:eastAsia="en-US"/>
        </w:rPr>
        <w:t>10</w:t>
      </w:r>
      <w:r>
        <w:rPr>
          <w:rFonts w:ascii="Times New Roman" w:hAnsi="Times New Roman"/>
          <w:color w:val="auto"/>
          <w:sz w:val="24"/>
          <w:szCs w:val="24"/>
          <w:lang w:eastAsia="en-US"/>
        </w:rPr>
        <w:t xml:space="preserve"> (</w:t>
      </w:r>
      <w:r>
        <w:rPr>
          <w:rFonts w:eastAsia="Arial" w:cs="Arial" w:ascii="Times New Roman" w:hAnsi="Times New Roman"/>
          <w:color w:val="auto"/>
          <w:sz w:val="24"/>
          <w:szCs w:val="24"/>
          <w:u w:val="none"/>
          <w:lang w:eastAsia="en-US"/>
        </w:rPr>
        <w:t>dez</w:t>
      </w:r>
      <w:r>
        <w:rPr>
          <w:rFonts w:ascii="Times New Roman" w:hAnsi="Times New Roman"/>
          <w:color w:val="auto"/>
          <w:sz w:val="24"/>
          <w:szCs w:val="24"/>
          <w:lang w:eastAsia="en-US"/>
        </w:rPr>
        <w:t>) dias úteis.</w:t>
      </w:r>
    </w:p>
    <w:p>
      <w:pPr>
        <w:pStyle w:val="Nivel2"/>
        <w:numPr>
          <w:ilvl w:val="1"/>
          <w:numId w:val="218"/>
        </w:numPr>
        <w:ind w:left="0" w:right="0" w:hanging="0"/>
        <w:rPr>
          <w:rFonts w:ascii="Times New Roman" w:hAnsi="Times New Roman"/>
          <w:sz w:val="24"/>
          <w:szCs w:val="24"/>
        </w:rPr>
      </w:pPr>
      <w:r>
        <w:rPr>
          <w:rFonts w:ascii="Times New Roman" w:hAnsi="Times New Roman"/>
          <w:sz w:val="24"/>
          <w:szCs w:val="24"/>
          <w:lang w:eastAsia="en-US"/>
        </w:rPr>
        <w:t xml:space="preserve">O prazo para recebimento definitivo poderá ser excepcionalmente prorrogado, </w:t>
      </w:r>
      <w:r>
        <w:rPr>
          <w:rFonts w:ascii="Times New Roman" w:hAnsi="Times New Roman"/>
          <w:color w:val="auto"/>
          <w:sz w:val="24"/>
          <w:szCs w:val="24"/>
          <w:lang w:eastAsia="en-US"/>
        </w:rPr>
        <w:t>de forma justificada, por igual período, quando houver necessidade de diligências para a aferição do ate</w:t>
      </w:r>
      <w:r>
        <w:rPr>
          <w:rFonts w:ascii="Times New Roman" w:hAnsi="Times New Roman"/>
          <w:sz w:val="24"/>
          <w:szCs w:val="24"/>
          <w:lang w:eastAsia="en-US"/>
        </w:rPr>
        <w:t>ndimento das exigências contratuais.</w:t>
      </w:r>
    </w:p>
    <w:p>
      <w:pPr>
        <w:pStyle w:val="Nivel2"/>
        <w:numPr>
          <w:ilvl w:val="1"/>
          <w:numId w:val="219"/>
        </w:numPr>
        <w:ind w:left="0" w:right="0" w:hanging="0"/>
        <w:rPr/>
      </w:pPr>
      <w:r>
        <w:rPr>
          <w:rFonts w:ascii="Times New Roman" w:hAnsi="Times New Roman"/>
          <w:sz w:val="24"/>
          <w:szCs w:val="24"/>
          <w:lang w:eastAsia="en-US"/>
        </w:rPr>
        <w:t xml:space="preserve">No caso de controvérsia sobre a execução do objeto, quanto à dimensão, qualidade e quantidade, deverá ser observado o teor do </w:t>
      </w:r>
      <w:r>
        <w:fldChar w:fldCharType="begin"/>
      </w:r>
      <w:r>
        <w:rPr>
          <w:rStyle w:val="LinkdaInternet"/>
          <w:sz w:val="24"/>
          <w:szCs w:val="24"/>
          <w:rFonts w:ascii="Times New Roman" w:hAnsi="Times New Roman"/>
          <w:lang w:eastAsia="en-US"/>
        </w:rPr>
        <w:instrText> HYPERLINK "http://www.planalto.gov.br/ccivil_03/_ato2019-2022/2021/lei/L14133.htm" \l "art143"</w:instrText>
      </w:r>
      <w:r>
        <w:rPr>
          <w:rStyle w:val="LinkdaInternet"/>
          <w:sz w:val="24"/>
          <w:szCs w:val="24"/>
          <w:rFonts w:ascii="Times New Roman" w:hAnsi="Times New Roman"/>
          <w:lang w:eastAsia="en-US"/>
        </w:rPr>
        <w:fldChar w:fldCharType="separate"/>
      </w:r>
      <w:r>
        <w:rPr>
          <w:rStyle w:val="LinkdaInternet"/>
          <w:rFonts w:ascii="Times New Roman" w:hAnsi="Times New Roman"/>
          <w:sz w:val="24"/>
          <w:szCs w:val="24"/>
          <w:lang w:eastAsia="en-US"/>
        </w:rPr>
        <w:t>art. 143 da Lei nº 14.133, de 2021</w:t>
      </w:r>
      <w:r>
        <w:rPr>
          <w:rStyle w:val="LinkdaInternet"/>
          <w:sz w:val="24"/>
          <w:szCs w:val="24"/>
          <w:rFonts w:ascii="Times New Roman" w:hAnsi="Times New Roman"/>
          <w:lang w:eastAsia="en-US"/>
        </w:rPr>
        <w:fldChar w:fldCharType="end"/>
      </w:r>
      <w:r>
        <w:rPr>
          <w:rFonts w:ascii="Times New Roman" w:hAnsi="Times New Roman"/>
          <w:sz w:val="24"/>
          <w:szCs w:val="24"/>
          <w:lang w:eastAsia="en-US"/>
        </w:rPr>
        <w:t>, comunicando-se à empresa para emissão de Nota Fiscal no que pertine à parcela incontroversa da execução do objeto, para efeito de liquidação e pagamento.</w:t>
      </w:r>
    </w:p>
    <w:p>
      <w:pPr>
        <w:pStyle w:val="Nivel2"/>
        <w:numPr>
          <w:ilvl w:val="1"/>
          <w:numId w:val="220"/>
        </w:numPr>
        <w:ind w:left="0" w:right="0" w:hanging="0"/>
        <w:rPr>
          <w:rFonts w:ascii="Times New Roman" w:hAnsi="Times New Roman"/>
          <w:sz w:val="24"/>
          <w:szCs w:val="24"/>
        </w:rPr>
      </w:pPr>
      <w:r>
        <w:rPr>
          <w:rFonts w:ascii="Times New Roman" w:hAnsi="Times New Roman"/>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ivel2"/>
        <w:numPr>
          <w:ilvl w:val="1"/>
          <w:numId w:val="221"/>
        </w:numPr>
        <w:ind w:left="0" w:right="0" w:hanging="0"/>
        <w:rPr>
          <w:rFonts w:ascii="Times New Roman" w:hAnsi="Times New Roman"/>
          <w:sz w:val="24"/>
          <w:szCs w:val="24"/>
        </w:rPr>
      </w:pPr>
      <w:r>
        <w:rPr>
          <w:rFonts w:ascii="Times New Roman" w:hAnsi="Times New Roman"/>
          <w:sz w:val="24"/>
          <w:szCs w:val="24"/>
          <w:lang w:eastAsia="en-US"/>
        </w:rPr>
        <w:t>O recebimento provisório ou definitivo não excluirá a responsabilidade civil pela solidez e pela segurança dos bens nem a responsabilidade ético-profissional pela perfeita execução do contrato.</w:t>
      </w:r>
    </w:p>
    <w:p>
      <w:pPr>
        <w:pStyle w:val="Nvel1SemNumPreto"/>
        <w:rPr>
          <w:rFonts w:ascii="Times New Roman" w:hAnsi="Times New Roman"/>
          <w:sz w:val="24"/>
          <w:szCs w:val="24"/>
        </w:rPr>
      </w:pPr>
      <w:r>
        <w:rPr>
          <w:rFonts w:ascii="Times New Roman" w:hAnsi="Times New Roman"/>
          <w:sz w:val="24"/>
          <w:szCs w:val="24"/>
        </w:rPr>
        <w:t>Liquidação</w:t>
      </w:r>
    </w:p>
    <w:p>
      <w:pPr>
        <w:pStyle w:val="Nivel2"/>
        <w:numPr>
          <w:ilvl w:val="1"/>
          <w:numId w:val="222"/>
        </w:numPr>
        <w:ind w:left="0" w:right="0" w:hanging="0"/>
        <w:rPr/>
      </w:pPr>
      <w:r>
        <w:rPr>
          <w:rFonts w:ascii="Times New Roman" w:hAnsi="Times New Roman"/>
          <w:sz w:val="24"/>
          <w:szCs w:val="24"/>
          <w:lang w:eastAsia="en-US"/>
        </w:rPr>
        <w:t>Recebida a Nota Fiscal ou documento de cobrança equivalente, correrá o prazo de dez dias úteis para fins de liquidação, na forma desta seção, prorrogáveis por igual período, nos termos do art. 7º, §3</w:t>
      </w:r>
      <w:r>
        <w:rPr>
          <w:rStyle w:val="LinkdaInternet"/>
          <w:rFonts w:ascii="Times New Roman" w:hAnsi="Times New Roman"/>
          <w:sz w:val="24"/>
          <w:szCs w:val="24"/>
          <w:lang w:eastAsia="en-US"/>
        </w:rPr>
        <w:t>º da Instrução Normativa SEGES/ME nº 77/2022</w:t>
      </w:r>
      <w:r>
        <w:rPr>
          <w:rFonts w:ascii="Times New Roman" w:hAnsi="Times New Roman"/>
          <w:sz w:val="24"/>
          <w:szCs w:val="24"/>
          <w:lang w:eastAsia="en-US"/>
        </w:rPr>
        <w:t>.</w:t>
      </w:r>
    </w:p>
    <w:p>
      <w:pPr>
        <w:pStyle w:val="Nivel3"/>
        <w:numPr>
          <w:ilvl w:val="2"/>
          <w:numId w:val="223"/>
        </w:numPr>
        <w:ind w:left="284" w:hanging="0"/>
        <w:rPr/>
      </w:pPr>
      <w:r>
        <w:rPr>
          <w:rFonts w:ascii="Times New Roman" w:hAnsi="Times New Roman"/>
          <w:sz w:val="24"/>
          <w:szCs w:val="24"/>
        </w:rPr>
        <w:t xml:space="preserve">O prazo de que trata o item anterior será reduzido à metade, mantendo-se a possibilidade de prorrogação, no caso de contratações decorrentes de despesas cujos valores não ultrapassem o limite de que trata o </w:t>
      </w:r>
      <w:r>
        <w:fldChar w:fldCharType="begin"/>
      </w:r>
      <w:r>
        <w:rPr>
          <w:rStyle w:val="LinkdaInternet"/>
          <w:sz w:val="24"/>
          <w:szCs w:val="24"/>
          <w:rFonts w:ascii="Times New Roman" w:hAnsi="Times New Roman"/>
        </w:rPr>
        <w:instrText> HYPERLINK "http://www.planalto.gov.br/ccivil_03/_ato2019-2022/2021/lei/L14133.htm" \l "art75"</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inciso II do art. 75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24"/>
        </w:numPr>
        <w:ind w:left="0" w:right="0" w:hanging="0"/>
        <w:rPr>
          <w:rFonts w:ascii="Times New Roman" w:hAnsi="Times New Roman"/>
          <w:sz w:val="24"/>
          <w:szCs w:val="24"/>
        </w:rPr>
      </w:pPr>
      <w:r>
        <w:rPr>
          <w:rFonts w:ascii="Times New Roman" w:hAnsi="Times New Roman"/>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pPr>
        <w:pStyle w:val="Nivel3"/>
        <w:numPr>
          <w:ilvl w:val="2"/>
          <w:numId w:val="225"/>
        </w:numPr>
        <w:ind w:left="284" w:hanging="0"/>
        <w:rPr>
          <w:rFonts w:ascii="Times New Roman" w:hAnsi="Times New Roman"/>
          <w:sz w:val="24"/>
          <w:szCs w:val="24"/>
        </w:rPr>
      </w:pPr>
      <w:r>
        <w:rPr>
          <w:rFonts w:ascii="Times New Roman" w:hAnsi="Times New Roman"/>
          <w:sz w:val="24"/>
          <w:szCs w:val="24"/>
          <w:lang w:eastAsia="en-US"/>
        </w:rPr>
        <w:t>o prazo de validade;</w:t>
      </w:r>
    </w:p>
    <w:p>
      <w:pPr>
        <w:pStyle w:val="Nivel3"/>
        <w:numPr>
          <w:ilvl w:val="2"/>
          <w:numId w:val="226"/>
        </w:numPr>
        <w:ind w:left="284" w:hanging="0"/>
        <w:rPr>
          <w:rFonts w:ascii="Times New Roman" w:hAnsi="Times New Roman"/>
          <w:sz w:val="24"/>
          <w:szCs w:val="24"/>
        </w:rPr>
      </w:pPr>
      <w:r>
        <w:rPr>
          <w:rFonts w:ascii="Times New Roman" w:hAnsi="Times New Roman"/>
          <w:sz w:val="24"/>
          <w:szCs w:val="24"/>
          <w:lang w:eastAsia="en-US"/>
        </w:rPr>
        <w:t xml:space="preserve">a data da emissão; </w:t>
      </w:r>
    </w:p>
    <w:p>
      <w:pPr>
        <w:pStyle w:val="Nivel3"/>
        <w:numPr>
          <w:ilvl w:val="2"/>
          <w:numId w:val="227"/>
        </w:numPr>
        <w:ind w:left="284" w:hanging="0"/>
        <w:rPr>
          <w:rFonts w:ascii="Times New Roman" w:hAnsi="Times New Roman"/>
          <w:sz w:val="24"/>
          <w:szCs w:val="24"/>
        </w:rPr>
      </w:pPr>
      <w:r>
        <w:rPr>
          <w:rFonts w:ascii="Times New Roman" w:hAnsi="Times New Roman"/>
          <w:sz w:val="24"/>
          <w:szCs w:val="24"/>
          <w:lang w:eastAsia="en-US"/>
        </w:rPr>
        <w:t xml:space="preserve">os dados do contrato e do órgão contratante; </w:t>
      </w:r>
    </w:p>
    <w:p>
      <w:pPr>
        <w:pStyle w:val="Nivel3"/>
        <w:numPr>
          <w:ilvl w:val="2"/>
          <w:numId w:val="228"/>
        </w:numPr>
        <w:ind w:left="284" w:hanging="0"/>
        <w:rPr>
          <w:rFonts w:ascii="Times New Roman" w:hAnsi="Times New Roman"/>
          <w:sz w:val="24"/>
          <w:szCs w:val="24"/>
        </w:rPr>
      </w:pPr>
      <w:r>
        <w:rPr>
          <w:rFonts w:ascii="Times New Roman" w:hAnsi="Times New Roman"/>
          <w:sz w:val="24"/>
          <w:szCs w:val="24"/>
          <w:lang w:eastAsia="en-US"/>
        </w:rPr>
        <w:t xml:space="preserve">o período respectivo de execução do contrato; </w:t>
      </w:r>
    </w:p>
    <w:p>
      <w:pPr>
        <w:pStyle w:val="Nivel3"/>
        <w:numPr>
          <w:ilvl w:val="2"/>
          <w:numId w:val="229"/>
        </w:numPr>
        <w:ind w:left="284" w:hanging="0"/>
        <w:rPr>
          <w:rFonts w:ascii="Times New Roman" w:hAnsi="Times New Roman"/>
          <w:sz w:val="24"/>
          <w:szCs w:val="24"/>
        </w:rPr>
      </w:pPr>
      <w:r>
        <w:rPr>
          <w:rFonts w:ascii="Times New Roman" w:hAnsi="Times New Roman"/>
          <w:sz w:val="24"/>
          <w:szCs w:val="24"/>
          <w:lang w:eastAsia="en-US"/>
        </w:rPr>
        <w:t xml:space="preserve">o valor a pagar; e </w:t>
      </w:r>
    </w:p>
    <w:p>
      <w:pPr>
        <w:pStyle w:val="Nivel3"/>
        <w:numPr>
          <w:ilvl w:val="2"/>
          <w:numId w:val="230"/>
        </w:numPr>
        <w:ind w:left="284" w:hanging="0"/>
        <w:rPr>
          <w:rFonts w:ascii="Times New Roman" w:hAnsi="Times New Roman"/>
          <w:sz w:val="24"/>
          <w:szCs w:val="24"/>
        </w:rPr>
      </w:pPr>
      <w:r>
        <w:rPr>
          <w:rFonts w:ascii="Times New Roman" w:hAnsi="Times New Roman"/>
          <w:sz w:val="24"/>
          <w:szCs w:val="24"/>
          <w:lang w:eastAsia="en-US"/>
        </w:rPr>
        <w:t>eventual destaque do valor de retenções tributárias cabíveis.</w:t>
      </w:r>
    </w:p>
    <w:p>
      <w:pPr>
        <w:pStyle w:val="Nivel2"/>
        <w:numPr>
          <w:ilvl w:val="1"/>
          <w:numId w:val="231"/>
        </w:numPr>
        <w:ind w:left="0" w:right="0" w:hanging="0"/>
        <w:rPr>
          <w:rFonts w:ascii="Times New Roman" w:hAnsi="Times New Roman"/>
          <w:sz w:val="24"/>
          <w:szCs w:val="24"/>
        </w:rPr>
      </w:pPr>
      <w:r>
        <w:rPr>
          <w:rFonts w:eastAsia="Calibri" w:ascii="Times New Roman" w:hAnsi="Times New Roman"/>
          <w:sz w:val="24"/>
          <w:szCs w:val="24"/>
          <w:lang w:eastAsia="en-US"/>
        </w:rPr>
        <w:t xml:space="preserve"> </w:t>
      </w:r>
      <w:r>
        <w:rPr>
          <w:rFonts w:eastAsia="Calibri" w:ascii="Times New Roman" w:hAnsi="Times New Roman"/>
          <w:sz w:val="24"/>
          <w:szCs w:val="24"/>
          <w:lang w:eastAsia="en-US"/>
        </w:rPr>
        <w:t xml:space="preserve">Havendo erro na apresentação da nota fiscal ou instrumento de cobrança equivalente, ou circunstância que impeça a </w:t>
      </w:r>
      <w:r>
        <w:rPr>
          <w:rFonts w:ascii="Times New Roman" w:hAnsi="Times New Roman"/>
          <w:sz w:val="24"/>
          <w:szCs w:val="24"/>
          <w:lang w:eastAsia="en-US"/>
        </w:rPr>
        <w:t>liquidação da despesa, esta ficará sobrestada até que o contratado providencie as medidas saneadoras, reiniciando-se o prazo após a comprovação da regularização da situação, sem ônus ao contratante;</w:t>
      </w:r>
    </w:p>
    <w:p>
      <w:pPr>
        <w:pStyle w:val="Nivel2"/>
        <w:numPr>
          <w:ilvl w:val="1"/>
          <w:numId w:val="232"/>
        </w:numPr>
        <w:ind w:left="0" w:right="0" w:hanging="0"/>
        <w:rPr/>
      </w:pPr>
      <w:r>
        <w:rPr>
          <w:rFonts w:ascii="Times New Roman" w:hAnsi="Times New Roman"/>
          <w:sz w:val="24"/>
          <w:szCs w:val="24"/>
          <w:lang w:eastAsia="en-US"/>
        </w:rPr>
        <w:t xml:space="preserve"> </w:t>
      </w:r>
      <w:r>
        <w:rPr>
          <w:rFonts w:ascii="Times New Roman" w:hAnsi="Times New Roman"/>
          <w:sz w:val="24"/>
          <w:szCs w:val="24"/>
          <w:lang w:eastAsia="en-US"/>
        </w:rPr>
        <w:t xml:space="preserve">A nota fiscal ou instrumento de cobrança equivalente deverá ser obrigatoriamente acompanhado da comprovação da regularidade fiscal, constatada por meio de consulta </w:t>
      </w:r>
      <w:r>
        <w:rPr>
          <w:rFonts w:ascii="Times New Roman" w:hAnsi="Times New Roman"/>
          <w:i/>
          <w:iCs/>
          <w:sz w:val="24"/>
          <w:szCs w:val="24"/>
          <w:lang w:eastAsia="en-US"/>
        </w:rPr>
        <w:t>on-line</w:t>
      </w:r>
      <w:r>
        <w:rPr>
          <w:rFonts w:ascii="Times New Roman" w:hAnsi="Times New Roman"/>
          <w:sz w:val="24"/>
          <w:szCs w:val="24"/>
          <w:lang w:eastAsia="en-US"/>
        </w:rPr>
        <w:t xml:space="preserve"> ao SICAF ou, na impossibilidade de acesso ao referido Sistema, mediante consulta aos sítios eletrônicos oficiais ou à documentação mencionada no </w:t>
      </w:r>
      <w:r>
        <w:fldChar w:fldCharType="begin"/>
      </w:r>
      <w:r>
        <w:rPr>
          <w:rStyle w:val="LinkdaInternet"/>
          <w:sz w:val="24"/>
          <w:szCs w:val="24"/>
          <w:rFonts w:ascii="Times New Roman" w:hAnsi="Times New Roman"/>
          <w:lang w:eastAsia="en-US"/>
        </w:rPr>
        <w:instrText> HYPERLINK "http://www.planalto.gov.br/ccivil_03/_ato2019-2022/2021/lei/L14133.htm" \l "art68"</w:instrText>
      </w:r>
      <w:r>
        <w:rPr>
          <w:rStyle w:val="LinkdaInternet"/>
          <w:sz w:val="24"/>
          <w:szCs w:val="24"/>
          <w:rFonts w:ascii="Times New Roman" w:hAnsi="Times New Roman"/>
          <w:lang w:eastAsia="en-US"/>
        </w:rPr>
        <w:fldChar w:fldCharType="separate"/>
      </w:r>
      <w:r>
        <w:rPr>
          <w:rStyle w:val="LinkdaInternet"/>
          <w:rFonts w:ascii="Times New Roman" w:hAnsi="Times New Roman"/>
          <w:sz w:val="24"/>
          <w:szCs w:val="24"/>
          <w:lang w:eastAsia="en-US"/>
        </w:rPr>
        <w:t xml:space="preserve">art. 68 da Lei nº 14.133, de 2021.  </w:t>
      </w:r>
      <w:r>
        <w:rPr>
          <w:rStyle w:val="LinkdaInternet"/>
          <w:sz w:val="24"/>
          <w:szCs w:val="24"/>
          <w:rFonts w:ascii="Times New Roman" w:hAnsi="Times New Roman"/>
          <w:lang w:eastAsia="en-US"/>
        </w:rPr>
        <w:fldChar w:fldCharType="end"/>
      </w:r>
      <w:r>
        <w:rPr>
          <w:rFonts w:ascii="Times New Roman" w:hAnsi="Times New Roman"/>
          <w:sz w:val="24"/>
          <w:szCs w:val="24"/>
          <w:lang w:eastAsia="en-US"/>
        </w:rPr>
        <w:t xml:space="preserve"> </w:t>
      </w:r>
    </w:p>
    <w:p>
      <w:pPr>
        <w:pStyle w:val="Nivel2"/>
        <w:numPr>
          <w:ilvl w:val="1"/>
          <w:numId w:val="233"/>
        </w:numPr>
        <w:ind w:left="0" w:right="0" w:hanging="0"/>
        <w:rPr>
          <w:rFonts w:ascii="Times New Roman" w:hAnsi="Times New Roman"/>
          <w:sz w:val="24"/>
          <w:szCs w:val="24"/>
        </w:rPr>
      </w:pPr>
      <w:r>
        <w:rPr>
          <w:rFonts w:ascii="Times New Roman" w:hAnsi="Times New Roman"/>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pPr>
        <w:pStyle w:val="Nivel2"/>
        <w:numPr>
          <w:ilvl w:val="1"/>
          <w:numId w:val="234"/>
        </w:numPr>
        <w:ind w:left="0" w:right="0" w:hanging="0"/>
        <w:rPr>
          <w:rFonts w:ascii="Times New Roman" w:hAnsi="Times New Roman"/>
          <w:sz w:val="24"/>
          <w:szCs w:val="24"/>
        </w:rPr>
      </w:pPr>
      <w:r>
        <w:rPr>
          <w:rFonts w:ascii="Times New Roman" w:hAnsi="Times New Roman"/>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235"/>
        </w:numPr>
        <w:ind w:left="0" w:right="0" w:hanging="0"/>
        <w:rPr>
          <w:rFonts w:ascii="Times New Roman" w:hAnsi="Times New Roman"/>
          <w:sz w:val="24"/>
          <w:szCs w:val="24"/>
        </w:rPr>
      </w:pPr>
      <w:r>
        <w:rPr>
          <w:rFonts w:ascii="Times New Roman" w:hAnsi="Times New Roman"/>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236"/>
        </w:numPr>
        <w:ind w:left="0" w:right="0" w:hanging="0"/>
        <w:rPr>
          <w:rFonts w:ascii="Times New Roman" w:hAnsi="Times New Roman"/>
          <w:sz w:val="24"/>
          <w:szCs w:val="24"/>
        </w:rPr>
      </w:pPr>
      <w:r>
        <w:rPr>
          <w:rFonts w:ascii="Times New Roman" w:hAnsi="Times New Roman"/>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pPr>
        <w:pStyle w:val="Nivel2"/>
        <w:numPr>
          <w:ilvl w:val="1"/>
          <w:numId w:val="237"/>
        </w:numPr>
        <w:ind w:left="0" w:right="0" w:hanging="0"/>
        <w:rPr>
          <w:rFonts w:ascii="Times New Roman" w:hAnsi="Times New Roman"/>
          <w:sz w:val="24"/>
          <w:szCs w:val="24"/>
        </w:rPr>
      </w:pPr>
      <w:r>
        <w:rPr>
          <w:rFonts w:ascii="Times New Roman" w:hAnsi="Times New Roman"/>
          <w:sz w:val="24"/>
          <w:szCs w:val="24"/>
          <w:lang w:eastAsia="en-US"/>
        </w:rPr>
        <w:t xml:space="preserve">Havendo a efetiva execução do objeto, os pagamentos serão realizados normalmente, até que se decida pela rescisão do contrato, caso o contratado não regularize sua situação junto ao SICAF.  </w:t>
      </w:r>
    </w:p>
    <w:p>
      <w:pPr>
        <w:pStyle w:val="Nvel1SemNumPreto"/>
        <w:rPr>
          <w:rFonts w:ascii="Times New Roman" w:hAnsi="Times New Roman"/>
          <w:sz w:val="24"/>
          <w:szCs w:val="24"/>
        </w:rPr>
      </w:pPr>
      <w:r>
        <w:rPr>
          <w:rFonts w:ascii="Times New Roman" w:hAnsi="Times New Roman"/>
          <w:sz w:val="24"/>
          <w:szCs w:val="24"/>
        </w:rPr>
        <w:t>Prazo de pagamento</w:t>
      </w:r>
    </w:p>
    <w:p>
      <w:pPr>
        <w:pStyle w:val="Nivel2"/>
        <w:numPr>
          <w:ilvl w:val="1"/>
          <w:numId w:val="238"/>
        </w:numPr>
        <w:ind w:left="0" w:right="0" w:hanging="0"/>
        <w:rPr/>
      </w:pPr>
      <w:r>
        <w:rPr>
          <w:rFonts w:ascii="Times New Roman" w:hAnsi="Times New Roman"/>
          <w:sz w:val="24"/>
          <w:szCs w:val="24"/>
        </w:rPr>
        <w:t xml:space="preserve">O pagamento será efetuado no prazo de até 10 (dez) dias úteis contados da finalização da liquidação da despesa, conforme seção anterior, nos termos da </w:t>
      </w:r>
      <w:hyperlink r:id="rId3">
        <w:r>
          <w:rPr>
            <w:rStyle w:val="LinkdaInternet"/>
            <w:rFonts w:ascii="Times New Roman" w:hAnsi="Times New Roman"/>
            <w:sz w:val="24"/>
            <w:szCs w:val="24"/>
          </w:rPr>
          <w:t>Instrução Normativa SEGES/ME nº 77, de 2022</w:t>
        </w:r>
      </w:hyperlink>
      <w:r>
        <w:rPr>
          <w:rFonts w:ascii="Times New Roman" w:hAnsi="Times New Roman"/>
          <w:sz w:val="24"/>
          <w:szCs w:val="24"/>
        </w:rPr>
        <w:t>.</w:t>
      </w:r>
    </w:p>
    <w:p>
      <w:pPr>
        <w:pStyle w:val="Nivel2"/>
        <w:numPr>
          <w:ilvl w:val="1"/>
          <w:numId w:val="239"/>
        </w:numPr>
        <w:ind w:left="0" w:right="0" w:hanging="0"/>
        <w:rPr>
          <w:rFonts w:ascii="Times New Roman" w:hAnsi="Times New Roman"/>
          <w:sz w:val="24"/>
          <w:szCs w:val="24"/>
        </w:rPr>
      </w:pPr>
      <w:r>
        <w:rPr>
          <w:rFonts w:ascii="Times New Roman" w:hAnsi="Times New Roman"/>
          <w:sz w:val="24"/>
          <w:szCs w:val="24"/>
          <w:lang w:eastAsia="en-US"/>
        </w:rPr>
        <w:t>No caso de atraso pelo Contratante, os valores devidos ao contratado serão atualizados monetariamente entre o termo final do prazo de pagamento até a data de sua efetiva realização, mediante aplicação do índice</w:t>
      </w:r>
      <w:r>
        <w:rPr>
          <w:rFonts w:ascii="Times New Roman" w:hAnsi="Times New Roman"/>
          <w:color w:val="auto"/>
          <w:sz w:val="24"/>
          <w:szCs w:val="24"/>
          <w:u w:val="single"/>
          <w:lang w:eastAsia="en-US"/>
        </w:rPr>
        <w:t xml:space="preserve"> </w:t>
      </w:r>
      <w:r>
        <w:rPr>
          <w:rFonts w:eastAsia="Arial" w:cs="Arial" w:ascii="Times New Roman" w:hAnsi="Times New Roman"/>
          <w:i/>
          <w:iCs/>
          <w:color w:val="auto"/>
          <w:sz w:val="24"/>
          <w:szCs w:val="24"/>
          <w:u w:val="single"/>
          <w:lang w:eastAsia="en-US"/>
        </w:rPr>
        <w:t xml:space="preserve">IPCA </w:t>
      </w:r>
      <w:r>
        <w:rPr>
          <w:rFonts w:ascii="Times New Roman" w:hAnsi="Times New Roman"/>
          <w:sz w:val="24"/>
          <w:szCs w:val="24"/>
          <w:lang w:eastAsia="en-US"/>
        </w:rPr>
        <w:t>de correção monetária.</w:t>
      </w:r>
    </w:p>
    <w:p>
      <w:pPr>
        <w:pStyle w:val="Nvel1SemNumPreto"/>
        <w:rPr>
          <w:rFonts w:ascii="Times New Roman" w:hAnsi="Times New Roman"/>
          <w:sz w:val="24"/>
          <w:szCs w:val="24"/>
        </w:rPr>
      </w:pPr>
      <w:r>
        <w:rPr>
          <w:rFonts w:ascii="Times New Roman" w:hAnsi="Times New Roman"/>
          <w:sz w:val="24"/>
          <w:szCs w:val="24"/>
        </w:rPr>
        <w:t>Forma de pagamento</w:t>
      </w:r>
    </w:p>
    <w:p>
      <w:pPr>
        <w:pStyle w:val="Nivel2"/>
        <w:numPr>
          <w:ilvl w:val="1"/>
          <w:numId w:val="240"/>
        </w:numPr>
        <w:ind w:left="0" w:right="0" w:hanging="0"/>
        <w:rPr>
          <w:rFonts w:ascii="Times New Roman" w:hAnsi="Times New Roman"/>
          <w:sz w:val="24"/>
          <w:szCs w:val="24"/>
        </w:rPr>
      </w:pPr>
      <w:r>
        <w:rPr>
          <w:rFonts w:ascii="Times New Roman" w:hAnsi="Times New Roman"/>
          <w:sz w:val="24"/>
          <w:szCs w:val="24"/>
          <w:lang w:eastAsia="en-US"/>
        </w:rPr>
        <w:t>O pagamento será realizado por meio de ordem bancária, para crédito em banco, agência e conta corrente indicados pelo contratado.</w:t>
      </w:r>
    </w:p>
    <w:p>
      <w:pPr>
        <w:pStyle w:val="Nivel2"/>
        <w:numPr>
          <w:ilvl w:val="1"/>
          <w:numId w:val="241"/>
        </w:numPr>
        <w:ind w:left="0" w:right="0" w:hanging="0"/>
        <w:rPr>
          <w:rFonts w:ascii="Times New Roman" w:hAnsi="Times New Roman"/>
          <w:sz w:val="24"/>
          <w:szCs w:val="24"/>
        </w:rPr>
      </w:pPr>
      <w:r>
        <w:rPr>
          <w:rFonts w:ascii="Times New Roman" w:hAnsi="Times New Roman"/>
          <w:sz w:val="24"/>
          <w:szCs w:val="24"/>
          <w:lang w:eastAsia="en-US"/>
        </w:rPr>
        <w:t>Será considerada data do pagamento o dia em que constar como emitida a ordem bancária para pagamento.</w:t>
      </w:r>
    </w:p>
    <w:p>
      <w:pPr>
        <w:pStyle w:val="Nivel2"/>
        <w:numPr>
          <w:ilvl w:val="1"/>
          <w:numId w:val="242"/>
        </w:numPr>
        <w:ind w:left="0" w:right="0" w:hanging="0"/>
        <w:rPr>
          <w:rFonts w:ascii="Times New Roman" w:hAnsi="Times New Roman"/>
          <w:sz w:val="24"/>
          <w:szCs w:val="24"/>
        </w:rPr>
      </w:pPr>
      <w:r>
        <w:rPr>
          <w:rFonts w:ascii="Times New Roman" w:hAnsi="Times New Roman"/>
          <w:sz w:val="24"/>
          <w:szCs w:val="24"/>
          <w:lang w:eastAsia="en-US"/>
        </w:rPr>
        <w:t>Quando do pagamento, será efetuada a retenção tributária prevista na legislação aplicável.</w:t>
      </w:r>
    </w:p>
    <w:p>
      <w:pPr>
        <w:pStyle w:val="Nivel3"/>
        <w:numPr>
          <w:ilvl w:val="2"/>
          <w:numId w:val="243"/>
        </w:numPr>
        <w:ind w:left="284" w:hanging="0"/>
        <w:rPr>
          <w:rFonts w:ascii="Times New Roman" w:hAnsi="Times New Roman"/>
          <w:sz w:val="24"/>
          <w:szCs w:val="24"/>
        </w:rPr>
      </w:pPr>
      <w:r>
        <w:rPr>
          <w:rFonts w:ascii="Times New Roman" w:hAnsi="Times New Roman"/>
          <w:sz w:val="24"/>
          <w:szCs w:val="24"/>
          <w:lang w:eastAsia="en-US"/>
        </w:rPr>
        <w:t>Independentemente do percentual de tributo inserido na planilha, quando houver, serão retidos na fonte, quando da realização do pagamento, os percentuais estabelecidos na legislação vigente.</w:t>
      </w:r>
    </w:p>
    <w:p>
      <w:pPr>
        <w:pStyle w:val="Nivel2"/>
        <w:numPr>
          <w:ilvl w:val="1"/>
          <w:numId w:val="244"/>
        </w:numPr>
        <w:ind w:left="0" w:right="0" w:hanging="0"/>
        <w:rPr/>
      </w:pPr>
      <w:r>
        <w:rPr>
          <w:rFonts w:ascii="Times New Roman" w:hAnsi="Times New Roman"/>
          <w:sz w:val="24"/>
          <w:szCs w:val="24"/>
          <w:lang w:eastAsia="en-US"/>
        </w:rPr>
        <w:t xml:space="preserve">O contratado regularmente optante pelo Simples Nacional, nos termos da </w:t>
      </w:r>
      <w:hyperlink r:id="rId4">
        <w:r>
          <w:rPr>
            <w:rStyle w:val="LinkdaInternet"/>
            <w:rFonts w:ascii="Times New Roman" w:hAnsi="Times New Roman"/>
            <w:sz w:val="24"/>
            <w:szCs w:val="24"/>
            <w:lang w:eastAsia="en-US"/>
          </w:rPr>
          <w:t>Lei Complementar nº 123, de 2006</w:t>
        </w:r>
      </w:hyperlink>
      <w:r>
        <w:rPr>
          <w:rFonts w:ascii="Times New Roman" w:hAnsi="Times New Roman"/>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Preto"/>
        <w:rPr>
          <w:rFonts w:ascii="Times New Roman" w:hAnsi="Times New Roman"/>
          <w:sz w:val="24"/>
          <w:szCs w:val="24"/>
        </w:rPr>
      </w:pPr>
      <w:r>
        <w:rPr>
          <w:rFonts w:ascii="Times New Roman" w:hAnsi="Times New Roman"/>
          <w:sz w:val="24"/>
          <w:szCs w:val="24"/>
        </w:rPr>
        <w:t>Cessão de crédito</w:t>
      </w:r>
    </w:p>
    <w:p>
      <w:pPr>
        <w:pStyle w:val="Nivel2"/>
        <w:numPr>
          <w:ilvl w:val="1"/>
          <w:numId w:val="245"/>
        </w:numPr>
        <w:ind w:left="0" w:right="0" w:hanging="0"/>
        <w:rPr/>
      </w:pPr>
      <w:r>
        <w:rPr>
          <w:rFonts w:ascii="Times New Roman" w:hAnsi="Times New Roman"/>
          <w:sz w:val="24"/>
          <w:szCs w:val="24"/>
          <w:lang w:eastAsia="en-US"/>
        </w:rPr>
        <w:t xml:space="preserve">É admitida a cessão fiduciária de direitos creditícios com instituição financeira, nos termos e de acordo com os procedimentos previstos na </w:t>
      </w:r>
      <w:hyperlink r:id="rId5">
        <w:r>
          <w:rPr>
            <w:rStyle w:val="LinkdaInternet"/>
            <w:rFonts w:ascii="Times New Roman" w:hAnsi="Times New Roman"/>
            <w:sz w:val="24"/>
            <w:szCs w:val="24"/>
            <w:lang w:eastAsia="en-US"/>
          </w:rPr>
          <w:t>Instrução Normativa SEGES/ME nº 53, de 8 de Julho de 2020</w:t>
        </w:r>
      </w:hyperlink>
      <w:r>
        <w:rPr>
          <w:rFonts w:ascii="Times New Roman" w:hAnsi="Times New Roman"/>
          <w:sz w:val="24"/>
          <w:szCs w:val="24"/>
          <w:lang w:eastAsia="en-US"/>
        </w:rPr>
        <w:t>, conforme as regras deste presente tópico.</w:t>
      </w:r>
    </w:p>
    <w:p>
      <w:pPr>
        <w:pStyle w:val="Nvel3R"/>
        <w:widowControl/>
        <w:numPr>
          <w:ilvl w:val="2"/>
          <w:numId w:val="246"/>
        </w:numPr>
        <w:bidi w:val="0"/>
        <w:spacing w:lineRule="auto" w:line="276" w:before="120" w:after="120"/>
        <w:ind w:left="284" w:hanging="0"/>
        <w:jc w:val="both"/>
        <w:rPr>
          <w:rFonts w:ascii="Times New Roman" w:hAnsi="Times New Roman"/>
          <w:sz w:val="24"/>
          <w:szCs w:val="24"/>
        </w:rPr>
      </w:pPr>
      <w:r>
        <w:rPr>
          <w:rFonts w:cs="Arial" w:ascii="Times New Roman" w:hAnsi="Times New Roman"/>
          <w:i w:val="false"/>
          <w:iCs w:val="false"/>
          <w:sz w:val="24"/>
          <w:szCs w:val="24"/>
          <w:lang w:eastAsia="en-US"/>
        </w:rPr>
        <w:t>As cessões de crédito não fiduciárias dependerão de prévia aprovação do contratante</w:t>
      </w:r>
      <w:bookmarkStart w:id="0" w:name="_Ref118216946"/>
      <w:bookmarkEnd w:id="0"/>
      <w:r>
        <w:rPr>
          <w:rFonts w:cs="Arial" w:ascii="Times New Roman" w:hAnsi="Times New Roman"/>
          <w:i w:val="false"/>
          <w:iCs w:val="false"/>
          <w:sz w:val="24"/>
          <w:szCs w:val="24"/>
          <w:lang w:eastAsia="en-US"/>
        </w:rPr>
        <w:t>.</w:t>
      </w:r>
    </w:p>
    <w:p>
      <w:pPr>
        <w:pStyle w:val="Nivel2"/>
        <w:numPr>
          <w:ilvl w:val="1"/>
          <w:numId w:val="247"/>
        </w:numPr>
        <w:ind w:left="0" w:right="0" w:hanging="0"/>
        <w:rPr>
          <w:rFonts w:ascii="Times New Roman" w:hAnsi="Times New Roman"/>
          <w:sz w:val="24"/>
          <w:szCs w:val="24"/>
        </w:rPr>
      </w:pPr>
      <w:r>
        <w:rPr>
          <w:rFonts w:ascii="Times New Roman" w:hAnsi="Times New Roman"/>
          <w:sz w:val="24"/>
          <w:szCs w:val="24"/>
          <w:lang w:eastAsia="en-US"/>
        </w:rPr>
        <w:t>A eficácia da cessão de crédito, de qualquer natureza, em relação à Administração, está condicionada à celebração de termo aditivo ao contrato administrativo.</w:t>
      </w:r>
    </w:p>
    <w:p>
      <w:pPr>
        <w:pStyle w:val="Nivel2"/>
        <w:numPr>
          <w:ilvl w:val="1"/>
          <w:numId w:val="248"/>
        </w:numPr>
        <w:ind w:left="0" w:right="0" w:hanging="0"/>
        <w:rPr/>
      </w:pPr>
      <w:r>
        <w:rPr>
          <w:rFonts w:ascii="Times New Roman" w:hAnsi="Times New Roman"/>
          <w:sz w:val="24"/>
          <w:szCs w:val="24"/>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r>
        <w:fldChar w:fldCharType="begin"/>
      </w:r>
      <w:r>
        <w:rPr>
          <w:rStyle w:val="LinkdaInternet"/>
          <w:sz w:val="24"/>
          <w:szCs w:val="24"/>
          <w:rFonts w:ascii="Times New Roman" w:hAnsi="Times New Roman"/>
          <w:lang w:eastAsia="en-US"/>
        </w:rPr>
        <w:instrText> HYPERLINK "https://www.planalto.gov.br/ccivil_03/leis/l8429.htm" \l ":~:text=LEI Nº 8.429%2C DE 2 DE JUNHO DE 1992&amp;text=Dispõe sobre as sanções aplicáveis,fundacional e dá outras providências."</w:instrText>
      </w:r>
      <w:r>
        <w:rPr>
          <w:rStyle w:val="LinkdaInternet"/>
          <w:sz w:val="24"/>
          <w:szCs w:val="24"/>
          <w:rFonts w:ascii="Times New Roman" w:hAnsi="Times New Roman"/>
          <w:lang w:eastAsia="en-US"/>
        </w:rPr>
        <w:fldChar w:fldCharType="separate"/>
      </w:r>
      <w:r>
        <w:rPr>
          <w:rStyle w:val="LinkdaInternet"/>
          <w:rFonts w:ascii="Times New Roman" w:hAnsi="Times New Roman"/>
          <w:sz w:val="24"/>
          <w:szCs w:val="24"/>
          <w:lang w:eastAsia="en-US"/>
        </w:rPr>
        <w:t>o art. 12 da Lei nº 8.429, de 1992</w:t>
      </w:r>
      <w:r>
        <w:rPr>
          <w:rStyle w:val="LinkdaInternet"/>
          <w:sz w:val="24"/>
          <w:szCs w:val="24"/>
          <w:rFonts w:ascii="Times New Roman" w:hAnsi="Times New Roman"/>
          <w:lang w:eastAsia="en-US"/>
        </w:rPr>
        <w:fldChar w:fldCharType="end"/>
      </w:r>
      <w:r>
        <w:rPr>
          <w:rFonts w:ascii="Times New Roman" w:hAnsi="Times New Roman"/>
          <w:sz w:val="24"/>
          <w:szCs w:val="24"/>
          <w:lang w:eastAsia="en-US"/>
        </w:rPr>
        <w:t xml:space="preserve">, nos termos do </w:t>
      </w:r>
      <w:hyperlink r:id="rId6">
        <w:r>
          <w:rPr>
            <w:rStyle w:val="LinkdaInternet"/>
            <w:rFonts w:ascii="Times New Roman" w:hAnsi="Times New Roman"/>
            <w:sz w:val="24"/>
            <w:szCs w:val="24"/>
            <w:lang w:eastAsia="en-US"/>
          </w:rPr>
          <w:t>Parecer JL-01, de 18 de maio de 2020.</w:t>
        </w:r>
      </w:hyperlink>
    </w:p>
    <w:p>
      <w:pPr>
        <w:pStyle w:val="Nivel2"/>
        <w:numPr>
          <w:ilvl w:val="1"/>
          <w:numId w:val="249"/>
        </w:numPr>
        <w:ind w:left="0" w:right="0" w:hanging="0"/>
        <w:rPr>
          <w:rFonts w:ascii="Times New Roman" w:hAnsi="Times New Roman"/>
          <w:sz w:val="24"/>
          <w:szCs w:val="24"/>
        </w:rPr>
      </w:pPr>
      <w:r>
        <w:rPr>
          <w:rFonts w:ascii="Times New Roman" w:hAnsi="Times New Roman"/>
          <w:sz w:val="24"/>
          <w:szCs w:val="24"/>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pPr>
        <w:pStyle w:val="Nivel2"/>
        <w:numPr>
          <w:ilvl w:val="1"/>
          <w:numId w:val="250"/>
        </w:numPr>
        <w:ind w:left="0" w:right="0" w:hanging="0"/>
        <w:rPr>
          <w:rFonts w:ascii="Times New Roman" w:hAnsi="Times New Roman"/>
          <w:sz w:val="24"/>
          <w:szCs w:val="24"/>
        </w:rPr>
      </w:pPr>
      <w:r>
        <w:rPr>
          <w:rFonts w:ascii="Times New Roman" w:hAnsi="Times New Roman"/>
          <w:sz w:val="24"/>
          <w:szCs w:val="24"/>
          <w:lang w:eastAsia="en-US"/>
        </w:rPr>
        <w:t>A cessão de crédito não afetará a execução do objeto contratado, que continuará sob a integral responsabilidade do contratado.</w:t>
      </w:r>
    </w:p>
    <w:p>
      <w:pPr>
        <w:pStyle w:val="Nivel01"/>
        <w:numPr>
          <w:ilvl w:val="0"/>
          <w:numId w:val="4"/>
        </w:numPr>
        <w:ind w:left="0" w:hanging="0"/>
        <w:rPr>
          <w:rFonts w:ascii="Times New Roman" w:hAnsi="Times New Roman"/>
          <w:sz w:val="24"/>
          <w:szCs w:val="24"/>
        </w:rPr>
      </w:pPr>
      <w:r>
        <w:rPr>
          <w:rFonts w:ascii="Times New Roman" w:hAnsi="Times New Roman"/>
          <w:sz w:val="24"/>
          <w:szCs w:val="24"/>
        </w:rPr>
        <w:t>FORMA E CRITÉRIOS DE SELEÇÃO DO FORNECEDOR E FORMA DE FORNECIMENTO</w:t>
      </w:r>
    </w:p>
    <w:p>
      <w:pPr>
        <w:pStyle w:val="Nvel1SemNumPreto"/>
        <w:rPr>
          <w:rFonts w:ascii="Times New Roman" w:hAnsi="Times New Roman"/>
          <w:sz w:val="24"/>
          <w:szCs w:val="24"/>
        </w:rPr>
      </w:pPr>
      <w:r>
        <w:rPr>
          <w:rFonts w:ascii="Times New Roman" w:hAnsi="Times New Roman"/>
          <w:sz w:val="24"/>
          <w:szCs w:val="24"/>
        </w:rPr>
        <w:t>Forma de seleção e critério de julgamento da proposta</w:t>
      </w:r>
    </w:p>
    <w:p>
      <w:pPr>
        <w:pStyle w:val="Nivel2"/>
        <w:numPr>
          <w:ilvl w:val="1"/>
          <w:numId w:val="251"/>
        </w:numPr>
        <w:ind w:left="0" w:right="0" w:hanging="0"/>
        <w:rPr>
          <w:rFonts w:ascii="Times New Roman" w:hAnsi="Times New Roman"/>
          <w:sz w:val="24"/>
          <w:szCs w:val="24"/>
        </w:rPr>
      </w:pPr>
      <w:r>
        <w:rPr>
          <w:rFonts w:ascii="Times New Roman" w:hAnsi="Times New Roman"/>
          <w:sz w:val="24"/>
          <w:szCs w:val="24"/>
        </w:rPr>
        <w:t xml:space="preserve">O fornecedor será selecionado por meio da realização de procedimento de LICITAÇÃO, na modalidade PREGÃO, sob a forma ELETRÔNICA, com adoção do critério de julgamento pelo menor preço por item. </w:t>
      </w:r>
    </w:p>
    <w:p>
      <w:pPr>
        <w:pStyle w:val="Nvel1SemNumPreto"/>
        <w:rPr>
          <w:rFonts w:ascii="Times New Roman" w:hAnsi="Times New Roman"/>
          <w:sz w:val="24"/>
          <w:szCs w:val="24"/>
        </w:rPr>
      </w:pPr>
      <w:r>
        <w:rPr>
          <w:rFonts w:ascii="Times New Roman" w:hAnsi="Times New Roman"/>
          <w:sz w:val="24"/>
          <w:szCs w:val="24"/>
        </w:rPr>
        <w:t>Forma de fornecimento</w:t>
      </w:r>
    </w:p>
    <w:p>
      <w:pPr>
        <w:pStyle w:val="Nivel2"/>
        <w:numPr>
          <w:ilvl w:val="1"/>
          <w:numId w:val="252"/>
        </w:numPr>
        <w:ind w:left="0" w:right="0" w:hanging="0"/>
        <w:rPr/>
      </w:pPr>
      <w:r>
        <w:rPr>
          <w:rStyle w:val="Normaltextrun"/>
          <w:rFonts w:ascii="Times New Roman" w:hAnsi="Times New Roman"/>
          <w:sz w:val="24"/>
          <w:szCs w:val="24"/>
          <w:shd w:fill="FFFFFF" w:val="clear"/>
        </w:rPr>
        <w:t xml:space="preserve">O </w:t>
      </w:r>
      <w:r>
        <w:rPr>
          <w:rStyle w:val="Findhit"/>
          <w:rFonts w:ascii="Times New Roman" w:hAnsi="Times New Roman"/>
          <w:sz w:val="24"/>
          <w:szCs w:val="24"/>
          <w:shd w:fill="FFFFFF" w:val="clear"/>
        </w:rPr>
        <w:t>fornecimento do objeto será parcelado.</w:t>
      </w:r>
    </w:p>
    <w:p>
      <w:pPr>
        <w:pStyle w:val="Nvel1SemNumPreto"/>
        <w:rPr>
          <w:rFonts w:ascii="Times New Roman" w:hAnsi="Times New Roman"/>
          <w:sz w:val="24"/>
          <w:szCs w:val="24"/>
        </w:rPr>
      </w:pPr>
      <w:r>
        <w:rPr>
          <w:rFonts w:ascii="Times New Roman" w:hAnsi="Times New Roman"/>
          <w:sz w:val="24"/>
          <w:szCs w:val="24"/>
        </w:rPr>
        <w:t>Exigências de habilitação</w:t>
      </w:r>
    </w:p>
    <w:p>
      <w:pPr>
        <w:pStyle w:val="Nivel2"/>
        <w:numPr>
          <w:ilvl w:val="1"/>
          <w:numId w:val="253"/>
        </w:numPr>
        <w:ind w:left="0" w:right="0" w:hanging="0"/>
        <w:rPr>
          <w:rFonts w:ascii="Times New Roman" w:hAnsi="Times New Roman"/>
          <w:sz w:val="24"/>
          <w:szCs w:val="24"/>
        </w:rPr>
      </w:pPr>
      <w:r>
        <w:rPr>
          <w:rFonts w:ascii="Times New Roman" w:hAnsi="Times New Roman"/>
          <w:sz w:val="24"/>
          <w:szCs w:val="24"/>
        </w:rPr>
        <w:t>Para fins de habilitação, deverá o licitante comprovar os seguintes requisitos:</w:t>
      </w:r>
    </w:p>
    <w:p>
      <w:pPr>
        <w:pStyle w:val="Nvel1SemNumPreto"/>
        <w:rPr>
          <w:rFonts w:ascii="Times New Roman" w:hAnsi="Times New Roman"/>
          <w:sz w:val="24"/>
          <w:szCs w:val="24"/>
        </w:rPr>
      </w:pPr>
      <w:r>
        <w:rPr>
          <w:rFonts w:ascii="Times New Roman" w:hAnsi="Times New Roman"/>
          <w:sz w:val="24"/>
          <w:szCs w:val="24"/>
        </w:rPr>
        <w:t>Habilitação jurídica</w:t>
      </w:r>
    </w:p>
    <w:p>
      <w:pPr>
        <w:pStyle w:val="Nivel2"/>
        <w:numPr>
          <w:ilvl w:val="1"/>
          <w:numId w:val="254"/>
        </w:numPr>
        <w:ind w:left="0" w:right="0" w:hanging="0"/>
        <w:rPr>
          <w:rFonts w:ascii="Times New Roman" w:hAnsi="Times New Roman"/>
          <w:sz w:val="24"/>
          <w:szCs w:val="24"/>
        </w:rPr>
      </w:pPr>
      <w:bookmarkStart w:id="1" w:name="_Ref115800561"/>
      <w:r>
        <w:rPr>
          <w:rFonts w:ascii="Times New Roman" w:hAnsi="Times New Roman"/>
          <w:b/>
          <w:bCs/>
          <w:sz w:val="24"/>
          <w:szCs w:val="24"/>
        </w:rPr>
        <w:t>Pessoa física:</w:t>
      </w:r>
      <w:r>
        <w:rPr>
          <w:rFonts w:ascii="Times New Roman" w:hAnsi="Times New Roman"/>
          <w:sz w:val="24"/>
          <w:szCs w:val="24"/>
        </w:rPr>
        <w:t xml:space="preserve"> cédula de identidade (RG) ou documento equivalente que, por força de lei, tenha validade para fins de identificação em todo o território nacional;</w:t>
      </w:r>
      <w:bookmarkEnd w:id="1"/>
    </w:p>
    <w:p>
      <w:pPr>
        <w:pStyle w:val="Nivel2"/>
        <w:numPr>
          <w:ilvl w:val="1"/>
          <w:numId w:val="255"/>
        </w:numPr>
        <w:ind w:left="0" w:right="0" w:hanging="0"/>
        <w:rPr>
          <w:rFonts w:ascii="Times New Roman" w:hAnsi="Times New Roman"/>
          <w:sz w:val="24"/>
          <w:szCs w:val="24"/>
        </w:rPr>
      </w:pPr>
      <w:r>
        <w:rPr>
          <w:rFonts w:ascii="Times New Roman" w:hAnsi="Times New Roman"/>
          <w:b/>
          <w:bCs/>
          <w:sz w:val="24"/>
          <w:szCs w:val="24"/>
        </w:rPr>
        <w:t>Empresário individual:</w:t>
      </w:r>
      <w:r>
        <w:rPr>
          <w:rFonts w:ascii="Times New Roman" w:hAnsi="Times New Roman"/>
          <w:sz w:val="24"/>
          <w:szCs w:val="24"/>
        </w:rPr>
        <w:t xml:space="preserve"> inscrição no Registro Público de Empresas Mercantis, a cargo da Junta Comercial da respectiva sede; </w:t>
      </w:r>
    </w:p>
    <w:p>
      <w:pPr>
        <w:pStyle w:val="Nivel2"/>
        <w:numPr>
          <w:ilvl w:val="1"/>
          <w:numId w:val="256"/>
        </w:numPr>
        <w:ind w:left="0" w:right="0" w:hanging="0"/>
        <w:rPr/>
      </w:pPr>
      <w:r>
        <w:rPr>
          <w:rFonts w:ascii="Times New Roman" w:hAnsi="Times New Roman"/>
          <w:b/>
          <w:bCs/>
          <w:sz w:val="24"/>
          <w:szCs w:val="24"/>
        </w:rPr>
        <w:t>Microempreendedor Individual - MEI:</w:t>
      </w:r>
      <w:r>
        <w:rPr>
          <w:rFonts w:ascii="Times New Roman" w:hAnsi="Times New Roman"/>
          <w:sz w:val="24"/>
          <w:szCs w:val="24"/>
        </w:rPr>
        <w:t xml:space="preserve"> Certificado da Condição de Microempreendedor Individual - CCMEI, cuja aceitação ficará condicionada à verificação da autenticidade no sítio </w:t>
      </w:r>
      <w:hyperlink r:id="rId7">
        <w:r>
          <w:rPr>
            <w:rStyle w:val="LinkdaInternet"/>
            <w:rFonts w:ascii="Times New Roman" w:hAnsi="Times New Roman"/>
            <w:sz w:val="24"/>
            <w:szCs w:val="24"/>
          </w:rPr>
          <w:t>https://www.gov.br/empresas-e-negocios/pt-br/empreendedor</w:t>
        </w:r>
      </w:hyperlink>
      <w:r>
        <w:rPr>
          <w:rFonts w:ascii="Times New Roman" w:hAnsi="Times New Roman"/>
          <w:sz w:val="24"/>
          <w:szCs w:val="24"/>
        </w:rPr>
        <w:t xml:space="preserve">; </w:t>
      </w:r>
    </w:p>
    <w:p>
      <w:pPr>
        <w:pStyle w:val="Nivel2"/>
        <w:numPr>
          <w:ilvl w:val="1"/>
          <w:numId w:val="257"/>
        </w:numPr>
        <w:ind w:left="0" w:right="0" w:hanging="0"/>
        <w:rPr>
          <w:rFonts w:ascii="Times New Roman" w:hAnsi="Times New Roman"/>
          <w:sz w:val="24"/>
          <w:szCs w:val="24"/>
        </w:rPr>
      </w:pPr>
      <w:r>
        <w:rPr>
          <w:rFonts w:ascii="Times New Roman" w:hAnsi="Times New Roman"/>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pPr>
        <w:pStyle w:val="Nivel2"/>
        <w:numPr>
          <w:ilvl w:val="1"/>
          <w:numId w:val="258"/>
        </w:numPr>
        <w:ind w:left="0" w:right="0" w:hanging="0"/>
        <w:rPr/>
      </w:pPr>
      <w:r>
        <w:rPr>
          <w:rFonts w:ascii="Times New Roman" w:hAnsi="Times New Roman"/>
          <w:b/>
          <w:bCs/>
          <w:sz w:val="24"/>
          <w:szCs w:val="24"/>
        </w:rPr>
        <w:t>Sociedade empresária estrangeira:</w:t>
      </w:r>
      <w:r>
        <w:rPr>
          <w:rFonts w:ascii="Times New Roman" w:hAnsi="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8">
        <w:r>
          <w:rPr>
            <w:rStyle w:val="LinkdaInternet"/>
            <w:rFonts w:ascii="Times New Roman" w:hAnsi="Times New Roman"/>
            <w:sz w:val="24"/>
            <w:szCs w:val="24"/>
          </w:rPr>
          <w:t>Normativa DREI/ME n.º 77, de 18 de março de 2020</w:t>
        </w:r>
      </w:hyperlink>
      <w:r>
        <w:rPr>
          <w:rFonts w:ascii="Times New Roman" w:hAnsi="Times New Roman"/>
          <w:sz w:val="24"/>
          <w:szCs w:val="24"/>
        </w:rPr>
        <w:t>.</w:t>
      </w:r>
    </w:p>
    <w:p>
      <w:pPr>
        <w:pStyle w:val="Nivel2"/>
        <w:numPr>
          <w:ilvl w:val="1"/>
          <w:numId w:val="259"/>
        </w:numPr>
        <w:ind w:left="0" w:right="0" w:hanging="0"/>
        <w:rPr>
          <w:rFonts w:ascii="Times New Roman" w:hAnsi="Times New Roman"/>
          <w:sz w:val="24"/>
          <w:szCs w:val="24"/>
        </w:rPr>
      </w:pPr>
      <w:r>
        <w:rPr>
          <w:rFonts w:ascii="Times New Roman" w:hAnsi="Times New Roman"/>
          <w:b/>
          <w:bCs/>
          <w:sz w:val="24"/>
          <w:szCs w:val="24"/>
        </w:rPr>
        <w:t xml:space="preserve">Sociedade simples: </w:t>
      </w:r>
      <w:r>
        <w:rPr>
          <w:rFonts w:ascii="Times New Roman" w:hAnsi="Times New Roman"/>
          <w:sz w:val="24"/>
          <w:szCs w:val="24"/>
        </w:rPr>
        <w:t>inscrição do ato constitutivo no Registro Civil de Pessoas Jurídicas do local de sua sede, acompanhada de documento comprobatório de seus administradores;</w:t>
      </w:r>
    </w:p>
    <w:p>
      <w:pPr>
        <w:pStyle w:val="Nivel2"/>
        <w:numPr>
          <w:ilvl w:val="1"/>
          <w:numId w:val="260"/>
        </w:numPr>
        <w:ind w:left="0" w:right="0" w:hanging="0"/>
        <w:rPr>
          <w:rFonts w:ascii="Times New Roman" w:hAnsi="Times New Roman"/>
          <w:sz w:val="24"/>
          <w:szCs w:val="24"/>
        </w:rPr>
      </w:pPr>
      <w:r>
        <w:rPr>
          <w:rFonts w:ascii="Times New Roman" w:hAnsi="Times New Roman"/>
          <w:b/>
          <w:bCs/>
          <w:sz w:val="24"/>
          <w:szCs w:val="24"/>
        </w:rPr>
        <w:t>Filial, sucursal ou agência de sociedade simples ou empresária:</w:t>
      </w:r>
      <w:r>
        <w:rPr>
          <w:rFonts w:ascii="Times New Roman" w:hAnsi="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2" w:name="_Int_ySfCXwr4"/>
      <w:r>
        <w:rPr>
          <w:rFonts w:ascii="Times New Roman" w:hAnsi="Times New Roman"/>
          <w:sz w:val="24"/>
          <w:szCs w:val="24"/>
        </w:rPr>
        <w:t>Mercantis onde</w:t>
      </w:r>
      <w:bookmarkEnd w:id="2"/>
      <w:r>
        <w:rPr>
          <w:rFonts w:ascii="Times New Roman" w:hAnsi="Times New Roman"/>
          <w:sz w:val="24"/>
          <w:szCs w:val="24"/>
        </w:rPr>
        <w:t xml:space="preserve"> opera, com averbação no Registro onde tem sede a matriz</w:t>
      </w:r>
    </w:p>
    <w:p>
      <w:pPr>
        <w:pStyle w:val="Nivel2"/>
        <w:numPr>
          <w:ilvl w:val="1"/>
          <w:numId w:val="261"/>
        </w:numPr>
        <w:ind w:left="0" w:right="0" w:hanging="0"/>
        <w:rPr/>
      </w:pPr>
      <w:r>
        <w:rPr>
          <w:rFonts w:ascii="Times New Roman" w:hAnsi="Times New Roman"/>
          <w:b/>
          <w:bCs/>
          <w:sz w:val="24"/>
          <w:szCs w:val="24"/>
        </w:rPr>
        <w:t>Sociedade cooperativa:</w:t>
      </w:r>
      <w:r>
        <w:rPr>
          <w:rFonts w:ascii="Times New Roman" w:hAnsi="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rPr>
          <w:rStyle w:val="LinkdaInternet"/>
          <w:sz w:val="24"/>
          <w:szCs w:val="24"/>
          <w:rFonts w:ascii="Times New Roman" w:hAnsi="Times New Roman"/>
        </w:rPr>
        <w:instrText> HYPERLINK "https://www.planalto.gov.br/ccivil_03/leis/l5764.htm" \l "art107"</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107 da Lei nº 5.764, de 16 de dezembro 1971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62"/>
        </w:numPr>
        <w:ind w:left="0" w:right="0" w:hanging="0"/>
        <w:rPr/>
      </w:pPr>
      <w:r>
        <w:rPr>
          <w:rFonts w:ascii="Times New Roman" w:hAnsi="Times New Roman"/>
          <w:b/>
          <w:bCs/>
          <w:sz w:val="24"/>
          <w:szCs w:val="24"/>
        </w:rPr>
        <w:t>Agricultor familiar:</w:t>
      </w:r>
      <w:r>
        <w:rPr>
          <w:rFonts w:ascii="Times New Roman" w:hAnsi="Times New Roman"/>
          <w:sz w:val="24"/>
          <w:szCs w:val="24"/>
        </w:rPr>
        <w:t xml:space="preserve"> Declaração de Aptidão ao Pronaf – DAP ou DAP-P válida, ou, ainda, outros documentos definidos pela Secretaria Especial de Agricultura Familiar e do Desenvolvimento Agrário, nos termos do</w:t>
      </w:r>
      <w:r>
        <w:fldChar w:fldCharType="begin"/>
      </w:r>
      <w:r>
        <w:rPr>
          <w:rStyle w:val="LinkdaInternet"/>
          <w:sz w:val="24"/>
          <w:szCs w:val="24"/>
          <w:rFonts w:ascii="Times New Roman" w:hAnsi="Times New Roman"/>
        </w:rPr>
        <w:instrText> HYPERLINK "https://www.planalto.gov.br/ccivil_03/_ato2019-2022/2021/decreto/d10880.htm" \l "art4§2"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 xml:space="preserve"> art. 4º, §2º do Decreto nº 10.880, de 2 de dezembro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63"/>
        </w:numPr>
        <w:ind w:left="0" w:right="0" w:hanging="0"/>
        <w:rPr/>
      </w:pPr>
      <w:r>
        <w:rPr>
          <w:rFonts w:ascii="Times New Roman" w:hAnsi="Times New Roman"/>
          <w:b/>
          <w:bCs/>
          <w:sz w:val="24"/>
          <w:szCs w:val="24"/>
        </w:rPr>
        <w:t>Produtor Rural:</w:t>
      </w:r>
      <w:r>
        <w:rPr>
          <w:rFonts w:ascii="Times New Roman" w:hAnsi="Times New Roman"/>
          <w:sz w:val="24"/>
          <w:szCs w:val="24"/>
        </w:rPr>
        <w:t xml:space="preserve"> matrícula no Cadastro Específico do INSS – CEI, que comprove a qualificação como produtor rural pessoa física, nos termos da </w:t>
      </w:r>
      <w:hyperlink r:id="rId9">
        <w:r>
          <w:rPr>
            <w:rStyle w:val="LinkdaInternet"/>
            <w:rFonts w:ascii="Times New Roman" w:hAnsi="Times New Roman"/>
            <w:sz w:val="24"/>
            <w:szCs w:val="24"/>
          </w:rPr>
          <w:t>Instrução Normativa RFB n. 971, de 13 de novembro de 2009</w:t>
        </w:r>
      </w:hyperlink>
      <w:r>
        <w:rPr>
          <w:rFonts w:ascii="Times New Roman" w:hAnsi="Times New Roman"/>
          <w:sz w:val="24"/>
          <w:szCs w:val="24"/>
        </w:rPr>
        <w:t xml:space="preserve"> (arts. 17 a 19 e 165).</w:t>
      </w:r>
    </w:p>
    <w:p>
      <w:pPr>
        <w:pStyle w:val="Nivel2"/>
        <w:numPr>
          <w:ilvl w:val="1"/>
          <w:numId w:val="264"/>
        </w:numPr>
        <w:ind w:left="0" w:right="0" w:hanging="0"/>
        <w:rPr>
          <w:rFonts w:ascii="Times New Roman" w:hAnsi="Times New Roman"/>
          <w:sz w:val="24"/>
          <w:szCs w:val="24"/>
        </w:rPr>
      </w:pPr>
      <w:r>
        <w:rPr>
          <w:rFonts w:cs="Arial" w:ascii="Times New Roman" w:hAnsi="Times New Roman"/>
          <w:sz w:val="24"/>
          <w:szCs w:val="24"/>
          <w:u w:val="single"/>
        </w:rPr>
        <w:t xml:space="preserve">8.14. Cadastro Nacional de Operadores de Resíduos Perigosos – CNORP, conforme classificação do Anexo I da Instrução Normativa IBAMA nº 1, de 25/01/2013; </w:t>
      </w:r>
    </w:p>
    <w:p>
      <w:pPr>
        <w:pStyle w:val="Nivel2"/>
        <w:numPr>
          <w:ilvl w:val="1"/>
          <w:numId w:val="265"/>
        </w:numPr>
        <w:ind w:left="0" w:right="0" w:hanging="0"/>
        <w:rPr>
          <w:rFonts w:ascii="Times New Roman" w:hAnsi="Times New Roman"/>
          <w:sz w:val="24"/>
          <w:szCs w:val="24"/>
        </w:rPr>
      </w:pPr>
      <w:r>
        <w:rPr>
          <w:rFonts w:ascii="Times New Roman" w:hAnsi="Times New Roman"/>
          <w:sz w:val="24"/>
          <w:szCs w:val="24"/>
        </w:rPr>
        <w:t>Os documentos apresentados deverão estar acompanhados de todas as alterações ou da consolidação respectiva.</w:t>
      </w:r>
    </w:p>
    <w:p>
      <w:pPr>
        <w:pStyle w:val="Nvel1SemNumPreto"/>
        <w:rPr>
          <w:rFonts w:ascii="Times New Roman" w:hAnsi="Times New Roman"/>
          <w:sz w:val="24"/>
          <w:szCs w:val="24"/>
        </w:rPr>
      </w:pPr>
      <w:r>
        <w:rPr>
          <w:rFonts w:ascii="Times New Roman" w:hAnsi="Times New Roman"/>
          <w:sz w:val="24"/>
          <w:szCs w:val="24"/>
        </w:rPr>
        <w:t>Habilitação fiscal, social e trabalhista</w:t>
      </w:r>
    </w:p>
    <w:p>
      <w:pPr>
        <w:pStyle w:val="Nivel2"/>
        <w:numPr>
          <w:ilvl w:val="1"/>
          <w:numId w:val="266"/>
        </w:numPr>
        <w:ind w:left="0" w:right="0" w:hanging="0"/>
        <w:rPr>
          <w:rFonts w:ascii="Times New Roman" w:hAnsi="Times New Roman"/>
          <w:sz w:val="24"/>
          <w:szCs w:val="24"/>
        </w:rPr>
      </w:pPr>
      <w:r>
        <w:rPr>
          <w:rFonts w:ascii="Times New Roman" w:hAnsi="Times New Roman"/>
          <w:sz w:val="24"/>
          <w:szCs w:val="24"/>
        </w:rPr>
        <w:t>Prova de inscrição no Cadastro Nacional de Pessoas Jurídicas ou no Cadastro de Pessoas Físicas, conforme o caso;</w:t>
      </w:r>
    </w:p>
    <w:p>
      <w:pPr>
        <w:pStyle w:val="Nivel2"/>
        <w:numPr>
          <w:ilvl w:val="1"/>
          <w:numId w:val="267"/>
        </w:numPr>
        <w:ind w:left="0" w:right="0" w:hanging="0"/>
        <w:rPr>
          <w:rFonts w:ascii="Times New Roman" w:hAnsi="Times New Roman"/>
          <w:sz w:val="24"/>
          <w:szCs w:val="24"/>
        </w:rPr>
      </w:pPr>
      <w:r>
        <w:rPr>
          <w:rFonts w:ascii="Times New Roman" w:hAnsi="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numPr>
          <w:ilvl w:val="1"/>
          <w:numId w:val="268"/>
        </w:numPr>
        <w:ind w:left="0" w:right="0" w:hanging="0"/>
        <w:rPr>
          <w:rFonts w:ascii="Times New Roman" w:hAnsi="Times New Roman"/>
          <w:sz w:val="24"/>
          <w:szCs w:val="24"/>
        </w:rPr>
      </w:pPr>
      <w:r>
        <w:rPr>
          <w:rFonts w:ascii="Times New Roman" w:hAnsi="Times New Roman"/>
          <w:sz w:val="24"/>
          <w:szCs w:val="24"/>
        </w:rPr>
        <w:t>Prova de regularidade com o Fundo de Garantia do Tempo de Serviço (FGTS);</w:t>
      </w:r>
    </w:p>
    <w:p>
      <w:pPr>
        <w:pStyle w:val="Nivel2"/>
        <w:numPr>
          <w:ilvl w:val="1"/>
          <w:numId w:val="269"/>
        </w:numPr>
        <w:ind w:left="0" w:right="0" w:hanging="0"/>
        <w:rPr>
          <w:rFonts w:ascii="Times New Roman" w:hAnsi="Times New Roman"/>
          <w:sz w:val="24"/>
          <w:szCs w:val="24"/>
        </w:rPr>
      </w:pPr>
      <w:r>
        <w:rPr>
          <w:rFonts w:ascii="Times New Roman" w:hAnsi="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ivel2"/>
        <w:numPr>
          <w:ilvl w:val="1"/>
          <w:numId w:val="270"/>
        </w:numPr>
        <w:ind w:left="0" w:right="0" w:hanging="0"/>
        <w:rPr>
          <w:rFonts w:ascii="Times New Roman" w:hAnsi="Times New Roman"/>
          <w:sz w:val="24"/>
          <w:szCs w:val="24"/>
        </w:rPr>
      </w:pPr>
      <w:r>
        <w:rPr>
          <w:rFonts w:ascii="Times New Roman" w:hAnsi="Times New Roman"/>
          <w:sz w:val="24"/>
          <w:szCs w:val="24"/>
        </w:rPr>
        <w:t xml:space="preserve">Prova de inscrição no cadastro de contribuintes Estadual ou Municipal relativo ao domicílio ou sede do fornecedor, pertinente ao seu ramo de atividade e compatível com o objeto contratual; </w:t>
      </w:r>
    </w:p>
    <w:p>
      <w:pPr>
        <w:pStyle w:val="Nivel2"/>
        <w:numPr>
          <w:ilvl w:val="1"/>
          <w:numId w:val="271"/>
        </w:numPr>
        <w:ind w:left="0" w:right="0" w:hanging="0"/>
        <w:rPr>
          <w:rFonts w:ascii="Times New Roman" w:hAnsi="Times New Roman"/>
          <w:sz w:val="24"/>
          <w:szCs w:val="24"/>
        </w:rPr>
      </w:pPr>
      <w:r>
        <w:rPr>
          <w:rFonts w:ascii="Times New Roman" w:hAnsi="Times New Roman"/>
          <w:sz w:val="24"/>
          <w:szCs w:val="24"/>
        </w:rPr>
        <w:t>Prova de regularidade com a Faze</w:t>
      </w:r>
      <w:r>
        <w:rPr>
          <w:rFonts w:ascii="Times New Roman" w:hAnsi="Times New Roman"/>
          <w:i/>
          <w:iCs/>
          <w:color w:val="auto"/>
          <w:sz w:val="24"/>
          <w:szCs w:val="24"/>
        </w:rPr>
        <w:t xml:space="preserve">nda Estadual ou Municipal </w:t>
      </w:r>
      <w:r>
        <w:rPr>
          <w:rFonts w:ascii="Times New Roman" w:hAnsi="Times New Roman"/>
          <w:sz w:val="24"/>
          <w:szCs w:val="24"/>
        </w:rPr>
        <w:t>do domicílio ou sede do fornecedor, relativa à atividade em cujo exercício contrata ou concorre;</w:t>
      </w:r>
    </w:p>
    <w:p>
      <w:pPr>
        <w:pStyle w:val="Nivel2"/>
        <w:numPr>
          <w:ilvl w:val="1"/>
          <w:numId w:val="272"/>
        </w:numPr>
        <w:ind w:left="0" w:right="0" w:hanging="0"/>
        <w:rPr>
          <w:rFonts w:ascii="Times New Roman" w:hAnsi="Times New Roman"/>
          <w:sz w:val="24"/>
          <w:szCs w:val="24"/>
        </w:rPr>
      </w:pPr>
      <w:r>
        <w:rPr>
          <w:rFonts w:ascii="Times New Roman" w:hAnsi="Times New Roman"/>
          <w:sz w:val="24"/>
          <w:szCs w:val="24"/>
        </w:rPr>
        <w:t xml:space="preserve">Caso o fornecedor seja considerado isento dos tributos Estadual ou Municipal </w:t>
      </w:r>
      <w:r>
        <w:rPr>
          <w:rFonts w:eastAsia="Arial" w:cs="Arial" w:ascii="Times New Roman" w:hAnsi="Times New Roman"/>
          <w:i w:val="false"/>
          <w:iCs w:val="false"/>
          <w:color w:val="auto"/>
          <w:sz w:val="24"/>
          <w:szCs w:val="24"/>
          <w:u w:val="none"/>
          <w:lang w:eastAsia="pt-BR"/>
        </w:rPr>
        <w:t>r</w:t>
      </w:r>
      <w:r>
        <w:rPr>
          <w:rFonts w:ascii="Times New Roman" w:hAnsi="Times New Roman"/>
          <w:sz w:val="24"/>
          <w:szCs w:val="24"/>
        </w:rPr>
        <w:t>elacionados ao objeto contratual, deverá comprovar tal condição mediante a apresentação de declaração da Fazenda respectiva do seu domicílio ou sede, ou outra equivalente, na forma da lei.</w:t>
      </w:r>
    </w:p>
    <w:p>
      <w:pPr>
        <w:pStyle w:val="Nivel2"/>
        <w:numPr>
          <w:ilvl w:val="1"/>
          <w:numId w:val="273"/>
        </w:numPr>
        <w:ind w:left="0" w:right="0" w:hanging="0"/>
        <w:rPr>
          <w:rFonts w:ascii="Times New Roman" w:hAnsi="Times New Roman"/>
          <w:sz w:val="24"/>
          <w:szCs w:val="24"/>
        </w:rPr>
      </w:pPr>
      <w:r>
        <w:rPr>
          <w:rFonts w:ascii="Times New Roman" w:hAnsi="Times New Roman"/>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vel1SemNumPreto"/>
        <w:rPr>
          <w:rFonts w:ascii="Times New Roman" w:hAnsi="Times New Roman"/>
          <w:sz w:val="24"/>
          <w:szCs w:val="24"/>
        </w:rPr>
      </w:pPr>
      <w:r>
        <w:rPr>
          <w:rFonts w:ascii="Times New Roman" w:hAnsi="Times New Roman"/>
          <w:sz w:val="24"/>
          <w:szCs w:val="24"/>
        </w:rPr>
        <w:t>Qualificação Econômico-Financeira</w:t>
      </w:r>
    </w:p>
    <w:p>
      <w:pPr>
        <w:pStyle w:val="Nivel2"/>
        <w:numPr>
          <w:ilvl w:val="1"/>
          <w:numId w:val="274"/>
        </w:numPr>
        <w:ind w:left="0" w:right="0" w:hanging="0"/>
        <w:rPr/>
      </w:pPr>
      <w:r>
        <w:rPr>
          <w:rFonts w:ascii="Times New Roman" w:hAnsi="Times New Roman"/>
          <w:sz w:val="24"/>
          <w:szCs w:val="24"/>
        </w:rPr>
        <w:t>Certidão negativa de insolvência civil expedida pelo distribuidor do domicílio ou sede do licitante, caso se trate de pessoa física, desde que admitida a sua participação na licitação (</w:t>
      </w:r>
      <w:r>
        <w:fldChar w:fldCharType="begin"/>
      </w:r>
      <w:r>
        <w:rPr>
          <w:rStyle w:val="LinkdaInternet"/>
          <w:sz w:val="24"/>
          <w:szCs w:val="24"/>
          <w:rFonts w:ascii="Times New Roman" w:hAnsi="Times New Roman"/>
        </w:rPr>
        <w:instrText> HYPERLINK "https://www.gov.br/compras/pt-br/acesso-a-informacao/legislacao/instrucoes-normativas/instrucao-normativa-seges-me-no-116-de-21-de-dezembro-de-2021" \l "art5"</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5º, inciso II, alínea “c”, da Instrução Normativa Seges/ME nº 116, de 2021</w:t>
      </w:r>
      <w:r>
        <w:rPr>
          <w:rStyle w:val="LinkdaInternet"/>
          <w:sz w:val="24"/>
          <w:szCs w:val="24"/>
          <w:rFonts w:ascii="Times New Roman" w:hAnsi="Times New Roman"/>
        </w:rPr>
        <w:fldChar w:fldCharType="end"/>
      </w:r>
      <w:r>
        <w:rPr>
          <w:rFonts w:ascii="Times New Roman" w:hAnsi="Times New Roman"/>
          <w:sz w:val="24"/>
          <w:szCs w:val="24"/>
        </w:rPr>
        <w:t xml:space="preserve">), ou de sociedade simples; </w:t>
      </w:r>
    </w:p>
    <w:p>
      <w:pPr>
        <w:pStyle w:val="Nivel2"/>
        <w:numPr>
          <w:ilvl w:val="1"/>
          <w:numId w:val="275"/>
        </w:numPr>
        <w:ind w:left="0" w:right="0" w:hanging="0"/>
        <w:rPr/>
      </w:pPr>
      <w:r>
        <w:rPr>
          <w:rFonts w:ascii="Times New Roman" w:hAnsi="Times New Roman"/>
          <w:sz w:val="24"/>
          <w:szCs w:val="24"/>
        </w:rPr>
        <w:t xml:space="preserve">Certidão negativa de falência expedida pelo distribuidor da sede do fornecedor - </w:t>
      </w:r>
      <w:r>
        <w:fldChar w:fldCharType="begin"/>
      </w:r>
      <w:r>
        <w:rPr>
          <w:rStyle w:val="LinkdaInternet"/>
          <w:sz w:val="24"/>
          <w:szCs w:val="24"/>
          <w:rFonts w:ascii="Times New Roman" w:hAnsi="Times New Roman"/>
        </w:rPr>
        <w:instrText> HYPERLINK "http://www.planalto.gov.br/ccivil_03/_ato2019-2022/2021/lei/L14133.htm" \l "art69"</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Lei nº 14.133, de 2021, art. 69, caput, inciso II</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76"/>
        </w:numPr>
        <w:ind w:left="0" w:right="0" w:hanging="0"/>
        <w:rPr>
          <w:rFonts w:ascii="Times New Roman" w:hAnsi="Times New Roman"/>
          <w:sz w:val="24"/>
          <w:szCs w:val="24"/>
        </w:rPr>
      </w:pPr>
      <w:r>
        <w:rPr>
          <w:rFonts w:ascii="Times New Roman" w:hAnsi="Times New Roman"/>
          <w:sz w:val="24"/>
          <w:szCs w:val="24"/>
        </w:rPr>
        <w:t>Balanço patrimonial, demonstração de resultado de exercício e demais demonstrações contábeis dos 2 (dois) últimos exercícios sociais, comprovando;</w:t>
      </w:r>
    </w:p>
    <w:p>
      <w:pPr>
        <w:pStyle w:val="Nivel3"/>
        <w:numPr>
          <w:ilvl w:val="2"/>
          <w:numId w:val="277"/>
        </w:numPr>
        <w:ind w:left="284" w:hanging="0"/>
        <w:rPr>
          <w:rFonts w:ascii="Times New Roman" w:hAnsi="Times New Roman"/>
          <w:sz w:val="24"/>
          <w:szCs w:val="24"/>
        </w:rPr>
      </w:pPr>
      <w:r>
        <w:rPr>
          <w:rFonts w:ascii="Times New Roman" w:hAnsi="Times New Roman"/>
          <w:sz w:val="24"/>
          <w:szCs w:val="24"/>
        </w:rPr>
        <w:t>índices de Liquidez Geral (LG), Liquidez Corrente (LC), e Solvência Geral (SG) superiores a 1 (um);</w:t>
      </w:r>
    </w:p>
    <w:p>
      <w:pPr>
        <w:pStyle w:val="Nivel3"/>
        <w:numPr>
          <w:ilvl w:val="2"/>
          <w:numId w:val="278"/>
        </w:numPr>
        <w:ind w:left="284" w:hanging="0"/>
        <w:rPr>
          <w:rFonts w:ascii="Times New Roman" w:hAnsi="Times New Roman"/>
          <w:sz w:val="24"/>
          <w:szCs w:val="24"/>
        </w:rPr>
      </w:pPr>
      <w:r>
        <w:rPr>
          <w:rFonts w:ascii="Times New Roman" w:hAnsi="Times New Roman"/>
          <w:sz w:val="24"/>
          <w:szCs w:val="24"/>
        </w:rPr>
        <w:t>As empresas criadas no exercício financeiro da licitação deverão atender a todas as exigências da habilitação e poderão substituir os demonstrativos contábeis pelo balanço de abertura.</w:t>
      </w:r>
    </w:p>
    <w:p>
      <w:pPr>
        <w:pStyle w:val="Nivel3"/>
        <w:numPr>
          <w:ilvl w:val="2"/>
          <w:numId w:val="279"/>
        </w:numPr>
        <w:ind w:left="284" w:hanging="0"/>
        <w:rPr>
          <w:rFonts w:ascii="Times New Roman" w:hAnsi="Times New Roman"/>
          <w:sz w:val="24"/>
          <w:szCs w:val="24"/>
        </w:rPr>
      </w:pPr>
      <w:r>
        <w:rPr>
          <w:rFonts w:ascii="Times New Roman" w:hAnsi="Times New Roman"/>
          <w:sz w:val="24"/>
          <w:szCs w:val="24"/>
        </w:rPr>
        <w:t>Os documentos referidos acima limitar-se-ão ao último exercício no caso de a pessoa jurídica ter sido constituída há menos de 2 (dois) anos;</w:t>
      </w:r>
    </w:p>
    <w:p>
      <w:pPr>
        <w:pStyle w:val="Nivel3"/>
        <w:numPr>
          <w:ilvl w:val="2"/>
          <w:numId w:val="280"/>
        </w:numPr>
        <w:ind w:left="284" w:hanging="0"/>
        <w:rPr>
          <w:rFonts w:ascii="Times New Roman" w:hAnsi="Times New Roman"/>
          <w:sz w:val="24"/>
          <w:szCs w:val="24"/>
        </w:rPr>
      </w:pPr>
      <w:r>
        <w:rPr>
          <w:rFonts w:ascii="Times New Roman" w:hAnsi="Times New Roman"/>
          <w:sz w:val="24"/>
          <w:szCs w:val="24"/>
        </w:rPr>
        <w:t>Os documentos referidos acima deverão ser exigidos com base no limite definido pela Receita Federal do Brasil para transmissão da Escrituração Contábil Digital - ECD ao Sped.</w:t>
      </w:r>
    </w:p>
    <w:p>
      <w:pPr>
        <w:pStyle w:val="Nivel2"/>
        <w:numPr>
          <w:ilvl w:val="1"/>
          <w:numId w:val="281"/>
        </w:numPr>
        <w:ind w:left="0" w:right="0" w:hanging="0"/>
        <w:rPr>
          <w:rFonts w:ascii="Times New Roman" w:hAnsi="Times New Roman"/>
          <w:sz w:val="24"/>
          <w:szCs w:val="24"/>
        </w:rPr>
      </w:pPr>
      <w:r>
        <w:rPr>
          <w:rFonts w:ascii="Times New Roman" w:hAnsi="Times New Roman"/>
          <w:sz w:val="24"/>
          <w:szCs w:val="24"/>
        </w:rPr>
        <w:t xml:space="preserve">Caso a empresa licitante apresente resultado inferior ou igual a 1 (um) em qualquer dos índices de Liquidez Geral (LG), Solvência Geral (SG) e Liquidez Corrente (LC), será exigido para fins de habilitação </w:t>
      </w:r>
      <w:r>
        <w:rPr>
          <w:rFonts w:ascii="Times New Roman" w:hAnsi="Times New Roman"/>
          <w:color w:val="auto"/>
          <w:sz w:val="24"/>
          <w:szCs w:val="24"/>
        </w:rPr>
        <w:t>patrimônio líquido mínimo de 10% do valor total estimado da contratação.</w:t>
      </w:r>
    </w:p>
    <w:p>
      <w:pPr>
        <w:pStyle w:val="Nivel2"/>
        <w:numPr>
          <w:ilvl w:val="1"/>
          <w:numId w:val="282"/>
        </w:numPr>
        <w:ind w:left="0" w:right="0" w:hanging="0"/>
        <w:rPr>
          <w:rFonts w:ascii="Times New Roman" w:hAnsi="Times New Roman"/>
          <w:sz w:val="24"/>
          <w:szCs w:val="24"/>
        </w:rPr>
      </w:pPr>
      <w:r>
        <w:rPr>
          <w:rFonts w:ascii="Times New Roman" w:hAnsi="Times New Roman"/>
          <w:sz w:val="24"/>
          <w:szCs w:val="24"/>
        </w:rPr>
        <w:t>As empresas criadas no exercício financeiro da licitação deverão atender a todas as exigências da habilitação e poderão substituir os demonstrativos contábeis pelo balanço de abertura. (Lei nº 14.133, de 2021, art. 65, §1º).</w:t>
      </w:r>
    </w:p>
    <w:p>
      <w:pPr>
        <w:pStyle w:val="Nvel1SemNumPreto"/>
        <w:rPr>
          <w:rFonts w:ascii="Times New Roman" w:hAnsi="Times New Roman"/>
          <w:sz w:val="24"/>
          <w:szCs w:val="24"/>
        </w:rPr>
      </w:pPr>
      <w:r>
        <w:rPr>
          <w:rFonts w:ascii="Times New Roman" w:hAnsi="Times New Roman"/>
          <w:sz w:val="24"/>
          <w:szCs w:val="24"/>
        </w:rPr>
        <w:t>Qualificação Técnica</w:t>
      </w:r>
    </w:p>
    <w:p>
      <w:pPr>
        <w:pStyle w:val="Nvel2Red"/>
        <w:numPr>
          <w:ilvl w:val="1"/>
          <w:numId w:val="283"/>
        </w:numPr>
        <w:ind w:left="0" w:right="0" w:hanging="0"/>
        <w:rPr>
          <w:rFonts w:ascii="Times New Roman" w:hAnsi="Times New Roman"/>
          <w:sz w:val="24"/>
          <w:szCs w:val="24"/>
        </w:rPr>
      </w:pPr>
      <w:r>
        <w:rPr>
          <w:rFonts w:cs="Arial" w:ascii="Times New Roman" w:hAnsi="Times New Roman"/>
          <w:i w:val="false"/>
          <w:iCs w:val="false"/>
          <w:color w:val="auto"/>
          <w:sz w:val="24"/>
          <w:szCs w:val="24"/>
          <w:u w:val="single"/>
          <w:lang w:eastAsia="zh-CN" w:bidi="hi-IN"/>
        </w:rPr>
        <w:t>Cadastro Nacional de Operadores de Resíduos Perigosos – CNORP, conforme classificação do Anexo I da Instrução Normativa IBAMA nº 1, de 25/01/2013;</w:t>
      </w:r>
    </w:p>
    <w:p>
      <w:pPr>
        <w:pStyle w:val="Nvel2Red"/>
        <w:numPr>
          <w:ilvl w:val="1"/>
          <w:numId w:val="284"/>
        </w:numPr>
        <w:ind w:left="0" w:right="0"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vel3R"/>
        <w:numPr>
          <w:ilvl w:val="2"/>
          <w:numId w:val="285"/>
        </w:numPr>
        <w:ind w:left="284" w:hanging="0"/>
        <w:rPr>
          <w:rFonts w:ascii="Times New Roman" w:hAnsi="Times New Roman"/>
          <w:i w:val="false"/>
          <w:i w:val="false"/>
          <w:iCs w:val="false"/>
          <w:color w:val="auto"/>
          <w:sz w:val="24"/>
          <w:szCs w:val="24"/>
        </w:rPr>
      </w:pPr>
      <w:r>
        <w:rPr>
          <w:rFonts w:ascii="Times New Roman" w:hAnsi="Times New Roman"/>
          <w:i w:val="false"/>
          <w:iCs w:val="false"/>
          <w:color w:val="auto"/>
          <w:sz w:val="24"/>
          <w:szCs w:val="24"/>
        </w:rPr>
        <w:t xml:space="preserve">Para fins da comprovação de que trata este subitem, os atestados deverão dizer respeito a contratos executados com as seguintes características mínimas: </w:t>
      </w:r>
    </w:p>
    <w:p>
      <w:pPr>
        <w:pStyle w:val="Nvel4R"/>
        <w:numPr>
          <w:ilvl w:val="3"/>
          <w:numId w:val="286"/>
        </w:numPr>
        <w:ind w:left="567" w:hanging="0"/>
        <w:rPr>
          <w:rFonts w:ascii="Times New Roman" w:hAnsi="Times New Roman"/>
          <w:i w:val="false"/>
          <w:i w:val="false"/>
          <w:iCs w:val="false"/>
          <w:color w:val="auto"/>
          <w:sz w:val="24"/>
          <w:szCs w:val="24"/>
        </w:rPr>
      </w:pPr>
      <w:r>
        <w:rPr>
          <w:rFonts w:eastAsia="" w:cs="Arial" w:ascii="Times New Roman" w:hAnsi="Times New Roman"/>
          <w:i w:val="false"/>
          <w:iCs w:val="false"/>
          <w:color w:val="auto"/>
          <w:kern w:val="0"/>
          <w:sz w:val="24"/>
          <w:szCs w:val="24"/>
          <w:lang w:val="pt-BR" w:eastAsia="pt-BR" w:bidi="ar-SA"/>
        </w:rPr>
        <w:t>Fornecimento dos quantitativos indicados na tabela do 1.1 deste termo.</w:t>
      </w:r>
    </w:p>
    <w:p>
      <w:pPr>
        <w:pStyle w:val="Nvel3R"/>
        <w:numPr>
          <w:ilvl w:val="2"/>
          <w:numId w:val="287"/>
        </w:numPr>
        <w:ind w:left="284" w:hanging="0"/>
        <w:rPr>
          <w:rFonts w:ascii="Times New Roman" w:hAnsi="Times New Roman"/>
          <w:sz w:val="24"/>
          <w:szCs w:val="24"/>
        </w:rPr>
      </w:pPr>
      <w:r>
        <w:rPr>
          <w:rFonts w:ascii="Times New Roman" w:hAnsi="Times New Roman"/>
          <w:sz w:val="24"/>
          <w:szCs w:val="24"/>
        </w:rPr>
        <w:t>Será admitida, para fins de comprovação de quantitativo mínimo, a apresentação e o somatório de diferentes atestados executados de forma concomitante.</w:t>
      </w:r>
    </w:p>
    <w:p>
      <w:pPr>
        <w:pStyle w:val="Nvel3R"/>
        <w:numPr>
          <w:ilvl w:val="2"/>
          <w:numId w:val="288"/>
        </w:numPr>
        <w:ind w:left="284" w:hanging="0"/>
        <w:rPr>
          <w:rFonts w:ascii="Times New Roman" w:hAnsi="Times New Roman"/>
          <w:sz w:val="24"/>
          <w:szCs w:val="24"/>
        </w:rPr>
      </w:pPr>
      <w:r>
        <w:rPr>
          <w:rFonts w:ascii="Times New Roman" w:hAnsi="Times New Roman"/>
          <w:sz w:val="24"/>
          <w:szCs w:val="24"/>
          <w:shd w:fill="auto" w:val="clear"/>
        </w:rPr>
        <w:t>Os atestados de capacidade técnica poderão ser apresentados em nome da matriz ou da filial do fornecedor.</w:t>
      </w:r>
    </w:p>
    <w:p>
      <w:pPr>
        <w:pStyle w:val="Nvel3R"/>
        <w:numPr>
          <w:ilvl w:val="2"/>
          <w:numId w:val="289"/>
        </w:numPr>
        <w:ind w:left="284" w:hanging="0"/>
        <w:rPr>
          <w:rFonts w:ascii="Times New Roman" w:hAnsi="Times New Roman"/>
          <w:sz w:val="24"/>
          <w:szCs w:val="24"/>
        </w:rPr>
      </w:pPr>
      <w:r>
        <w:rPr>
          <w:rFonts w:ascii="Times New Roman" w:hAnsi="Times New Roman"/>
          <w:sz w:val="24"/>
          <w:szCs w:val="24"/>
          <w:shd w:fill="auto" w:val="clear"/>
        </w:rPr>
        <w:t>O fornece</w:t>
      </w:r>
      <w:r>
        <w:rPr>
          <w:rFonts w:ascii="Times New Roman" w:hAnsi="Times New Roman"/>
          <w:sz w:val="24"/>
          <w:szCs w:val="24"/>
        </w:rPr>
        <w:t>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vel3R"/>
        <w:widowControl/>
        <w:numPr>
          <w:ilvl w:val="2"/>
          <w:numId w:val="290"/>
        </w:numPr>
        <w:suppressAutoHyphens w:val="true"/>
        <w:bidi w:val="0"/>
        <w:spacing w:lineRule="auto" w:line="276" w:before="120" w:after="120"/>
        <w:ind w:left="284" w:hanging="0"/>
        <w:jc w:val="both"/>
        <w:rPr>
          <w:rFonts w:ascii="Times New Roman" w:hAnsi="Times New Roman" w:eastAsia="" w:cs="Arial"/>
          <w:i w:val="false"/>
          <w:i w:val="false"/>
          <w:iCs w:val="false"/>
          <w:color w:val="auto"/>
          <w:kern w:val="0"/>
          <w:sz w:val="24"/>
          <w:szCs w:val="24"/>
          <w:lang w:val="pt-BR" w:eastAsia="pt-BR" w:bidi="ar-SA"/>
        </w:rPr>
      </w:pPr>
      <w:r>
        <w:rPr>
          <w:rFonts w:eastAsia="" w:cs="Arial" w:ascii="Times New Roman" w:hAnsi="Times New Roman"/>
          <w:i w:val="false"/>
          <w:iCs w:val="false"/>
          <w:color w:val="auto"/>
          <w:kern w:val="0"/>
          <w:sz w:val="24"/>
          <w:szCs w:val="24"/>
          <w:lang w:val="pt-BR" w:eastAsia="pt-BR" w:bidi="ar-SA"/>
        </w:rPr>
        <w:t xml:space="preserve">Prova de atendimento ao </w:t>
      </w:r>
      <w:r>
        <w:rPr>
          <w:rFonts w:eastAsia="" w:cs="Arial" w:ascii="Times New Roman" w:hAnsi="Times New Roman"/>
          <w:i w:val="false"/>
          <w:iCs w:val="false"/>
          <w:color w:val="auto"/>
          <w:kern w:val="0"/>
          <w:sz w:val="24"/>
          <w:szCs w:val="24"/>
          <w:u w:val="single"/>
          <w:lang w:val="pt-BR" w:eastAsia="zh-CN" w:bidi="hi-IN"/>
        </w:rPr>
        <w:t>Cadastro Nacional de Operadores de Resíduos Perigosos – CNORP, conforme classificação do Anexo I da Instrução Normativa IBAMA nº 1, de 25/01/2013</w:t>
      </w:r>
    </w:p>
    <w:p>
      <w:pPr>
        <w:pStyle w:val="Nivel2"/>
        <w:numPr>
          <w:ilvl w:val="1"/>
          <w:numId w:val="291"/>
        </w:numPr>
        <w:ind w:left="0" w:right="0" w:hanging="0"/>
        <w:rPr>
          <w:rFonts w:ascii="Times New Roman" w:hAnsi="Times New Roman"/>
          <w:sz w:val="24"/>
          <w:szCs w:val="24"/>
        </w:rPr>
      </w:pPr>
      <w:r>
        <w:rPr>
          <w:rFonts w:ascii="Times New Roman" w:hAnsi="Times New Roman"/>
          <w:sz w:val="24"/>
          <w:szCs w:val="24"/>
        </w:rPr>
        <w:t>Caso admitida a participação de cooperativas, será exigida a seguinte documentação complementar:</w:t>
      </w:r>
    </w:p>
    <w:p>
      <w:pPr>
        <w:pStyle w:val="Nivel3"/>
        <w:numPr>
          <w:ilvl w:val="2"/>
          <w:numId w:val="292"/>
        </w:numPr>
        <w:ind w:left="284" w:hanging="0"/>
        <w:rPr/>
      </w:pPr>
      <w:r>
        <w:rPr>
          <w:rFonts w:ascii="Times New Roman" w:hAnsi="Times New Roman"/>
          <w:sz w:val="24"/>
          <w:szCs w:val="24"/>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r>
        <w:fldChar w:fldCharType="begin"/>
      </w:r>
      <w:r>
        <w:rPr>
          <w:rStyle w:val="LinkdaInternet"/>
          <w:sz w:val="24"/>
          <w:szCs w:val="24"/>
          <w:rFonts w:ascii="Times New Roman" w:hAnsi="Times New Roman"/>
        </w:rPr>
        <w:instrText> HYPERLINK "https://www.planalto.gov.br/ccivil_03/leis/l5764.htm" \l "art4"</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arts. 4º, inciso XI, 21, inciso I</w:t>
      </w:r>
      <w:r>
        <w:rPr>
          <w:rStyle w:val="LinkdaInternet"/>
          <w:sz w:val="24"/>
          <w:szCs w:val="24"/>
          <w:rFonts w:ascii="Times New Roman" w:hAnsi="Times New Roman"/>
        </w:rPr>
        <w:fldChar w:fldCharType="end"/>
      </w:r>
      <w:r>
        <w:rPr>
          <w:rFonts w:ascii="Times New Roman" w:hAnsi="Times New Roman"/>
          <w:sz w:val="24"/>
          <w:szCs w:val="24"/>
        </w:rPr>
        <w:t xml:space="preserve"> e </w:t>
      </w:r>
      <w:r>
        <w:fldChar w:fldCharType="begin"/>
      </w:r>
      <w:r>
        <w:rPr>
          <w:rStyle w:val="LinkdaInternet"/>
          <w:sz w:val="24"/>
          <w:szCs w:val="24"/>
          <w:rFonts w:ascii="Times New Roman" w:hAnsi="Times New Roman"/>
        </w:rPr>
        <w:instrText> HYPERLINK "https://www.planalto.gov.br/ccivil_03/leis/l5764.htm" \l "art42"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42, §§2º a 6º da Lei n. 5.764, de 1971</w:t>
      </w:r>
      <w:r>
        <w:rPr>
          <w:rStyle w:val="LinkdaInternet"/>
          <w:sz w:val="24"/>
          <w:szCs w:val="24"/>
          <w:rFonts w:ascii="Times New Roman" w:hAnsi="Times New Roman"/>
        </w:rPr>
        <w:fldChar w:fldCharType="end"/>
      </w:r>
      <w:r>
        <w:rPr>
          <w:rFonts w:ascii="Times New Roman" w:hAnsi="Times New Roman"/>
          <w:sz w:val="24"/>
          <w:szCs w:val="24"/>
        </w:rPr>
        <w:t>;</w:t>
      </w:r>
    </w:p>
    <w:p>
      <w:pPr>
        <w:pStyle w:val="Nivel3"/>
        <w:numPr>
          <w:ilvl w:val="2"/>
          <w:numId w:val="293"/>
        </w:numPr>
        <w:ind w:left="284" w:hanging="0"/>
        <w:rPr>
          <w:rFonts w:ascii="Times New Roman" w:hAnsi="Times New Roman"/>
          <w:sz w:val="24"/>
          <w:szCs w:val="24"/>
        </w:rPr>
      </w:pPr>
      <w:r>
        <w:rPr>
          <w:rFonts w:ascii="Times New Roman" w:hAnsi="Times New Roman"/>
          <w:sz w:val="24"/>
          <w:szCs w:val="24"/>
        </w:rPr>
        <w:t>A declaração de regularidade de situação do contribuinte individual – DRSCI, para cada um dos cooperados indicados;</w:t>
      </w:r>
    </w:p>
    <w:p>
      <w:pPr>
        <w:pStyle w:val="Nivel3"/>
        <w:numPr>
          <w:ilvl w:val="2"/>
          <w:numId w:val="294"/>
        </w:numPr>
        <w:ind w:left="284" w:hanging="0"/>
        <w:rPr>
          <w:rFonts w:ascii="Times New Roman" w:hAnsi="Times New Roman"/>
          <w:sz w:val="24"/>
          <w:szCs w:val="24"/>
        </w:rPr>
      </w:pPr>
      <w:r>
        <w:rPr>
          <w:rFonts w:ascii="Times New Roman" w:hAnsi="Times New Roman"/>
          <w:sz w:val="24"/>
          <w:szCs w:val="24"/>
        </w:rPr>
        <w:t xml:space="preserve">A comprovação do capital social proporcional ao número de cooperados necessários à execução contratual; </w:t>
      </w:r>
    </w:p>
    <w:p>
      <w:pPr>
        <w:pStyle w:val="Nivel3"/>
        <w:numPr>
          <w:ilvl w:val="2"/>
          <w:numId w:val="295"/>
        </w:numPr>
        <w:ind w:left="284" w:hanging="0"/>
        <w:rPr/>
      </w:pPr>
      <w:r>
        <w:rPr>
          <w:rFonts w:ascii="Times New Roman" w:hAnsi="Times New Roman"/>
          <w:sz w:val="24"/>
          <w:szCs w:val="24"/>
        </w:rPr>
        <w:t xml:space="preserve">O registro previsto na </w:t>
      </w:r>
      <w:r>
        <w:fldChar w:fldCharType="begin"/>
      </w:r>
      <w:r>
        <w:rPr>
          <w:rStyle w:val="LinkdaInternet"/>
          <w:sz w:val="24"/>
          <w:szCs w:val="24"/>
          <w:rFonts w:ascii="Times New Roman" w:hAnsi="Times New Roman"/>
        </w:rPr>
        <w:instrText> HYPERLINK "https://www.planalto.gov.br/ccivil_03/leis/l5764.htm" \l "art107"</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Lei n. 5.764, de 1971, art. 107</w:t>
      </w:r>
      <w:r>
        <w:rPr>
          <w:rStyle w:val="LinkdaInternet"/>
          <w:sz w:val="24"/>
          <w:szCs w:val="24"/>
          <w:rFonts w:ascii="Times New Roman" w:hAnsi="Times New Roman"/>
        </w:rPr>
        <w:fldChar w:fldCharType="end"/>
      </w:r>
      <w:r>
        <w:rPr>
          <w:rFonts w:ascii="Times New Roman" w:hAnsi="Times New Roman"/>
          <w:sz w:val="24"/>
          <w:szCs w:val="24"/>
        </w:rPr>
        <w:t>;</w:t>
      </w:r>
    </w:p>
    <w:p>
      <w:pPr>
        <w:pStyle w:val="Nivel3"/>
        <w:numPr>
          <w:ilvl w:val="2"/>
          <w:numId w:val="296"/>
        </w:numPr>
        <w:ind w:left="284" w:hanging="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 comprovação de integração das respectivas quotas-partes por parte dos cooperados que executarão o contrato; e</w:t>
      </w:r>
    </w:p>
    <w:p>
      <w:pPr>
        <w:pStyle w:val="Nivel3"/>
        <w:numPr>
          <w:ilvl w:val="2"/>
          <w:numId w:val="297"/>
        </w:numPr>
        <w:ind w:left="284" w:hanging="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pPr>
        <w:pStyle w:val="Nivel3"/>
        <w:numPr>
          <w:ilvl w:val="2"/>
          <w:numId w:val="298"/>
        </w:numPr>
        <w:ind w:left="284" w:hanging="0"/>
        <w:rPr/>
      </w:pPr>
      <w:r>
        <w:rPr>
          <w:rFonts w:ascii="Times New Roman" w:hAnsi="Times New Roman"/>
          <w:sz w:val="24"/>
          <w:szCs w:val="24"/>
        </w:rPr>
        <w:t xml:space="preserve">A última auditoria contábil-financeira da cooperativa, conforme dispõe o </w:t>
      </w:r>
      <w:r>
        <w:fldChar w:fldCharType="begin"/>
      </w:r>
      <w:r>
        <w:rPr>
          <w:rStyle w:val="LinkdaInternet"/>
          <w:sz w:val="24"/>
          <w:szCs w:val="24"/>
          <w:rFonts w:ascii="Times New Roman" w:hAnsi="Times New Roman"/>
        </w:rPr>
        <w:instrText> HYPERLINK "https://www.planalto.gov.br/ccivil_03/leis/l5764.htm" \l "art112"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112 da Lei n. 5.764, de 1971</w:t>
      </w:r>
      <w:r>
        <w:rPr>
          <w:rStyle w:val="LinkdaInternet"/>
          <w:sz w:val="24"/>
          <w:szCs w:val="24"/>
          <w:rFonts w:ascii="Times New Roman" w:hAnsi="Times New Roman"/>
        </w:rPr>
        <w:fldChar w:fldCharType="end"/>
      </w:r>
      <w:r>
        <w:rPr>
          <w:rFonts w:ascii="Times New Roman" w:hAnsi="Times New Roman"/>
          <w:sz w:val="24"/>
          <w:szCs w:val="24"/>
        </w:rPr>
        <w:t>, ou uma declaração, sob as penas da lei, de que tal auditoria não foi exigida pelo órgão fiscalizador.</w:t>
      </w:r>
    </w:p>
    <w:p>
      <w:pPr>
        <w:pStyle w:val="Nivel01"/>
        <w:numPr>
          <w:ilvl w:val="0"/>
          <w:numId w:val="4"/>
        </w:numPr>
        <w:ind w:left="0" w:hanging="0"/>
        <w:rPr>
          <w:rFonts w:ascii="Times New Roman" w:hAnsi="Times New Roman"/>
          <w:sz w:val="24"/>
          <w:szCs w:val="24"/>
        </w:rPr>
      </w:pPr>
      <w:r>
        <w:rPr>
          <w:rFonts w:ascii="Times New Roman" w:hAnsi="Times New Roman"/>
          <w:sz w:val="24"/>
          <w:szCs w:val="24"/>
        </w:rPr>
        <w:t>ESTIMATIVAS DO VALOR DA CONTRATAÇÃO</w:t>
      </w:r>
    </w:p>
    <w:p>
      <w:pPr>
        <w:pStyle w:val="Nvel2Red"/>
        <w:numPr>
          <w:ilvl w:val="1"/>
          <w:numId w:val="299"/>
        </w:numPr>
        <w:ind w:left="0" w:right="0" w:hanging="0"/>
        <w:rPr>
          <w:rFonts w:ascii="Times New Roman" w:hAnsi="Times New Roman"/>
          <w:i w:val="false"/>
          <w:i w:val="false"/>
          <w:iCs w:val="false"/>
          <w:color w:val="auto"/>
          <w:sz w:val="24"/>
          <w:szCs w:val="24"/>
          <w:u w:val="single"/>
          <w:shd w:fill="auto" w:val="clear"/>
        </w:rPr>
      </w:pPr>
      <w:r>
        <w:rPr>
          <w:rFonts w:ascii="Times New Roman" w:hAnsi="Times New Roman"/>
          <w:i w:val="false"/>
          <w:iCs w:val="false"/>
          <w:color w:val="000000"/>
          <w:sz w:val="24"/>
          <w:szCs w:val="24"/>
          <w:u w:val="single"/>
          <w:shd w:fill="auto" w:val="clear"/>
        </w:rPr>
        <w:t>O custo estimado total da contratação é de</w:t>
      </w:r>
      <w:r>
        <w:rPr>
          <w:rFonts w:eastAsia="Arial" w:cs="Arial" w:ascii="Times New Roman" w:hAnsi="Times New Roman"/>
          <w:b/>
          <w:bCs/>
          <w:i w:val="false"/>
          <w:iCs w:val="false"/>
          <w:color w:val="000000"/>
          <w:sz w:val="24"/>
          <w:szCs w:val="24"/>
          <w:u w:val="single"/>
          <w:shd w:fill="auto" w:val="clear"/>
        </w:rPr>
        <w:t xml:space="preserve"> R$ </w:t>
      </w:r>
      <w:r>
        <w:rPr>
          <w:rFonts w:eastAsia="Arial" w:cs="Arial" w:ascii="Times New Roman" w:hAnsi="Times New Roman"/>
          <w:b/>
          <w:bCs/>
          <w:i w:val="false"/>
          <w:iCs w:val="false"/>
          <w:color w:val="000000"/>
          <w:kern w:val="0"/>
          <w:sz w:val="24"/>
          <w:szCs w:val="24"/>
          <w:u w:val="single"/>
          <w:shd w:fill="auto" w:val="clear"/>
          <w:lang w:val="pt-BR" w:eastAsia="pt-BR" w:bidi="ar-SA"/>
        </w:rPr>
        <w:t>153.938,00</w:t>
      </w:r>
      <w:r>
        <w:rPr>
          <w:rFonts w:eastAsia="Arial" w:cs="Arial" w:ascii="Times New Roman" w:hAnsi="Times New Roman"/>
          <w:b/>
          <w:bCs/>
          <w:i w:val="false"/>
          <w:iCs w:val="false"/>
          <w:color w:val="000000"/>
          <w:sz w:val="24"/>
          <w:szCs w:val="24"/>
          <w:u w:val="single"/>
          <w:shd w:fill="auto" w:val="clear"/>
        </w:rPr>
        <w:t xml:space="preserve"> (</w:t>
      </w:r>
      <w:r>
        <w:rPr>
          <w:rFonts w:eastAsia="Arial" w:cs="Arial" w:ascii="Times New Roman" w:hAnsi="Times New Roman"/>
          <w:b/>
          <w:bCs/>
          <w:i w:val="false"/>
          <w:iCs w:val="false"/>
          <w:color w:val="000000"/>
          <w:kern w:val="0"/>
          <w:sz w:val="24"/>
          <w:szCs w:val="24"/>
          <w:u w:val="single"/>
          <w:shd w:fill="auto" w:val="clear"/>
          <w:lang w:val="pt-BR" w:eastAsia="pt-BR" w:bidi="ar-SA"/>
        </w:rPr>
        <w:t>cento e cinquenta e tres mil, novecentos e trinta e oito reais</w:t>
      </w:r>
      <w:r>
        <w:rPr>
          <w:rFonts w:eastAsia="Arial" w:cs="Arial" w:ascii="Times New Roman" w:hAnsi="Times New Roman"/>
          <w:b/>
          <w:bCs/>
          <w:i w:val="false"/>
          <w:iCs w:val="false"/>
          <w:color w:val="000000"/>
          <w:sz w:val="24"/>
          <w:szCs w:val="24"/>
          <w:u w:val="single"/>
          <w:shd w:fill="auto" w:val="clear"/>
        </w:rPr>
        <w:t>)</w:t>
      </w:r>
      <w:r>
        <w:rPr>
          <w:rFonts w:ascii="Times New Roman" w:hAnsi="Times New Roman"/>
          <w:i w:val="false"/>
          <w:iCs w:val="false"/>
          <w:color w:val="000000"/>
          <w:sz w:val="24"/>
          <w:szCs w:val="24"/>
          <w:u w:val="single"/>
          <w:shd w:fill="auto" w:val="clear"/>
        </w:rPr>
        <w:t>, conforme custos unitários apostos na tabela acima.</w:t>
      </w:r>
    </w:p>
    <w:p>
      <w:pPr>
        <w:pStyle w:val="Nvel2Red"/>
        <w:numPr>
          <w:ilvl w:val="1"/>
          <w:numId w:val="300"/>
        </w:numPr>
        <w:ind w:left="0" w:right="0" w:hanging="0"/>
        <w:rPr>
          <w:rFonts w:ascii="Times New Roman" w:hAnsi="Times New Roman"/>
          <w:sz w:val="24"/>
          <w:szCs w:val="24"/>
        </w:rPr>
      </w:pPr>
      <w:r>
        <w:rPr>
          <w:rFonts w:eastAsia="MS Mincho" w:ascii="Times New Roman" w:hAnsi="Times New Roman"/>
          <w:i w:val="false"/>
          <w:iCs w:val="false"/>
          <w:color w:val="auto"/>
          <w:sz w:val="24"/>
          <w:szCs w:val="24"/>
        </w:rPr>
        <w:t xml:space="preserve">Em caso de licitação para Registro de Preços, os preços </w:t>
      </w:r>
      <w:r>
        <w:rPr>
          <w:rFonts w:ascii="Times New Roman" w:hAnsi="Times New Roman"/>
          <w:i w:val="false"/>
          <w:iCs w:val="false"/>
          <w:color w:val="auto"/>
          <w:sz w:val="24"/>
          <w:szCs w:val="24"/>
        </w:rPr>
        <w:t>registrados poderão ser alterados ou atualizados em decorrência de eventual redução dos preços praticados no mercado ou de fato que eleve o custo dos bens, das obras ou dos serviços registrados, nas seguintes situações (art. 25 do Decreto nº 11.462/2023):</w:t>
      </w:r>
    </w:p>
    <w:p>
      <w:pPr>
        <w:pStyle w:val="Nvel3R"/>
        <w:widowControl/>
        <w:numPr>
          <w:ilvl w:val="2"/>
          <w:numId w:val="301"/>
        </w:numPr>
        <w:bidi w:val="0"/>
        <w:spacing w:lineRule="auto" w:line="276" w:before="120" w:after="120"/>
        <w:ind w:left="284" w:hanging="0"/>
        <w:jc w:val="both"/>
        <w:rPr>
          <w:rFonts w:ascii="Times New Roman" w:hAnsi="Times New Roman"/>
          <w:sz w:val="24"/>
          <w:szCs w:val="24"/>
        </w:rPr>
      </w:pPr>
      <w:r>
        <w:rPr>
          <w:rFonts w:cs="Arial" w:ascii="Times New Roman" w:hAnsi="Times New Roman"/>
          <w:i w:val="false"/>
          <w:iCs w:val="false"/>
          <w:sz w:val="24"/>
          <w:szCs w:val="24"/>
          <w:lang w:eastAsia="pt-BR"/>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pPr>
        <w:pStyle w:val="Nvel3R"/>
        <w:numPr>
          <w:ilvl w:val="2"/>
          <w:numId w:val="302"/>
        </w:numPr>
        <w:ind w:left="284" w:hanging="0"/>
        <w:rPr>
          <w:rFonts w:ascii="Times New Roman" w:hAnsi="Times New Roman"/>
          <w:sz w:val="24"/>
          <w:szCs w:val="24"/>
        </w:rPr>
      </w:pPr>
      <w:r>
        <w:rPr>
          <w:rFonts w:ascii="Times New Roman" w:hAnsi="Times New Roman"/>
          <w:sz w:val="24"/>
          <w:szCs w:val="24"/>
        </w:rPr>
        <w:t>em caso de criação, alteração ou extinção de quaisquer tributos ou encargos legais ou superveniência de disposições legais, com comprovada repercussão sobre os preços registrados;</w:t>
      </w:r>
    </w:p>
    <w:p>
      <w:pPr>
        <w:pStyle w:val="Nvel3R"/>
        <w:numPr>
          <w:ilvl w:val="2"/>
          <w:numId w:val="303"/>
        </w:numPr>
        <w:ind w:left="284" w:hanging="0"/>
        <w:rPr>
          <w:rFonts w:ascii="Times New Roman" w:hAnsi="Times New Roman"/>
          <w:sz w:val="24"/>
          <w:szCs w:val="24"/>
        </w:rPr>
      </w:pPr>
      <w:r>
        <w:rPr>
          <w:rFonts w:ascii="Times New Roman" w:hAnsi="Times New Roman"/>
          <w:sz w:val="24"/>
          <w:szCs w:val="24"/>
        </w:rPr>
        <w:t>serão reajustados os preços registrados, respeitada a contagem da anualidade e o índice previsto para a contratação; ou</w:t>
      </w:r>
    </w:p>
    <w:p>
      <w:pPr>
        <w:pStyle w:val="Nvel3R"/>
        <w:numPr>
          <w:ilvl w:val="2"/>
          <w:numId w:val="304"/>
        </w:numPr>
        <w:ind w:left="284" w:hanging="0"/>
        <w:rPr>
          <w:rFonts w:ascii="Times New Roman" w:hAnsi="Times New Roman"/>
          <w:sz w:val="24"/>
          <w:szCs w:val="24"/>
        </w:rPr>
      </w:pPr>
      <w:r>
        <w:rPr>
          <w:rFonts w:ascii="Times New Roman" w:hAnsi="Times New Roman"/>
          <w:sz w:val="24"/>
          <w:szCs w:val="24"/>
        </w:rPr>
        <w:t>poderão ser repactuados, a pedido do interessado, conforme critérios definidos para a contratação.</w:t>
      </w:r>
    </w:p>
    <w:p>
      <w:pPr>
        <w:pStyle w:val="Nivel01"/>
        <w:numPr>
          <w:ilvl w:val="0"/>
          <w:numId w:val="4"/>
        </w:numPr>
        <w:ind w:left="0" w:hanging="0"/>
        <w:rPr>
          <w:rFonts w:ascii="Times New Roman" w:hAnsi="Times New Roman"/>
          <w:sz w:val="24"/>
          <w:szCs w:val="24"/>
        </w:rPr>
      </w:pPr>
      <w:r>
        <w:rPr>
          <w:rFonts w:ascii="Times New Roman" w:hAnsi="Times New Roman"/>
          <w:sz w:val="24"/>
          <w:szCs w:val="24"/>
        </w:rPr>
        <w:t>ADEQUAÇÃO ORÇAMENTÁRIA</w:t>
      </w:r>
    </w:p>
    <w:p>
      <w:pPr>
        <w:pStyle w:val="Nivel2"/>
        <w:numPr>
          <w:ilvl w:val="1"/>
          <w:numId w:val="305"/>
        </w:numPr>
        <w:ind w:left="0" w:right="0" w:hanging="0"/>
        <w:rPr>
          <w:rFonts w:ascii="Times New Roman" w:hAnsi="Times New Roman"/>
          <w:sz w:val="24"/>
          <w:szCs w:val="24"/>
        </w:rPr>
      </w:pPr>
      <w:r>
        <w:rPr>
          <w:rFonts w:ascii="Times New Roman" w:hAnsi="Times New Roman"/>
          <w:sz w:val="24"/>
          <w:szCs w:val="24"/>
        </w:rPr>
        <w:t>As despesas decorrentes da presente contratação correrão à conta de recursos específicos consignados no Orçamento Geral da União.</w:t>
      </w:r>
    </w:p>
    <w:p>
      <w:pPr>
        <w:pStyle w:val="Normal"/>
        <w:numPr>
          <w:ilvl w:val="1"/>
          <w:numId w:val="306"/>
        </w:numPr>
        <w:spacing w:lineRule="auto" w:line="276" w:before="120" w:after="120"/>
        <w:ind w:left="0" w:hanging="0"/>
        <w:jc w:val="both"/>
        <w:rPr>
          <w:rFonts w:ascii="Times New Roman" w:hAnsi="Times New Roman"/>
          <w:sz w:val="24"/>
          <w:szCs w:val="24"/>
        </w:rPr>
      </w:pPr>
      <w:r>
        <w:rPr>
          <w:rFonts w:cs="Arial" w:ascii="Times New Roman" w:hAnsi="Times New Roman"/>
          <w:iCs/>
          <w:sz w:val="24"/>
          <w:szCs w:val="24"/>
        </w:rPr>
        <w:t>A indicação da dotação orçamentária fica postergada para o momento da assinatura do contrato ou instrumento equivalente.</w:t>
      </w:r>
    </w:p>
    <w:p>
      <w:pPr>
        <w:pStyle w:val="Normal"/>
        <w:widowControl/>
        <w:numPr>
          <w:ilvl w:val="0"/>
          <w:numId w:val="307"/>
        </w:numPr>
        <w:suppressAutoHyphens w:val="true"/>
        <w:bidi w:val="0"/>
        <w:spacing w:before="0" w:after="360"/>
        <w:ind w:left="0" w:right="0" w:hanging="0"/>
        <w:jc w:val="left"/>
        <w:rPr>
          <w:rFonts w:ascii="Times New Roman" w:hAnsi="Times New Roman"/>
          <w:sz w:val="24"/>
          <w:szCs w:val="24"/>
        </w:rPr>
      </w:pPr>
      <w:r>
        <w:rPr>
          <w:rFonts w:cs="Arial" w:ascii="Times New Roman" w:hAnsi="Times New Roman"/>
          <w:b/>
          <w:sz w:val="24"/>
          <w:szCs w:val="24"/>
        </w:rPr>
        <w:t>A</w:t>
      </w:r>
      <w:r>
        <w:rPr>
          <w:rFonts w:eastAsia="" w:cs="Arial" w:ascii="Times New Roman" w:hAnsi="Times New Roman" w:eastAsiaTheme="minorEastAsia"/>
          <w:b/>
          <w:color w:val="auto"/>
          <w:kern w:val="0"/>
          <w:sz w:val="24"/>
          <w:szCs w:val="24"/>
          <w:lang w:val="pt-BR" w:eastAsia="pt-BR" w:bidi="ar-SA"/>
        </w:rPr>
        <w:t>NEXO</w:t>
      </w:r>
    </w:p>
    <w:p>
      <w:pPr>
        <w:pStyle w:val="Normal"/>
        <w:widowControl/>
        <w:numPr>
          <w:ilvl w:val="1"/>
          <w:numId w:val="308"/>
        </w:numPr>
        <w:suppressAutoHyphens w:val="true"/>
        <w:bidi w:val="0"/>
        <w:spacing w:lineRule="auto" w:line="276" w:before="120" w:after="120"/>
        <w:ind w:left="0" w:right="0" w:hanging="0"/>
        <w:jc w:val="both"/>
        <w:rPr>
          <w:rFonts w:ascii="Times New Roman" w:hAnsi="Times New Roman"/>
          <w:sz w:val="24"/>
          <w:szCs w:val="24"/>
        </w:rPr>
      </w:pPr>
      <w:r>
        <w:rPr>
          <w:rFonts w:eastAsia="Arial" w:cs="Arial" w:ascii="Times New Roman" w:hAnsi="Times New Roman"/>
          <w:iCs/>
          <w:sz w:val="24"/>
          <w:szCs w:val="24"/>
        </w:rPr>
        <w:t>Estudo Técnico Preliminar</w:t>
      </w:r>
    </w:p>
    <w:p>
      <w:pPr>
        <w:pStyle w:val="ListParagraph"/>
        <w:numPr>
          <w:ilvl w:val="0"/>
          <w:numId w:val="0"/>
        </w:numPr>
        <w:spacing w:lineRule="auto" w:line="276" w:before="120" w:after="120"/>
        <w:ind w:left="2420" w:hanging="0"/>
        <w:contextualSpacing/>
        <w:jc w:val="both"/>
        <w:rPr>
          <w:rFonts w:ascii="Times New Roman" w:hAnsi="Times New Roman"/>
          <w:sz w:val="24"/>
          <w:szCs w:val="24"/>
        </w:rPr>
      </w:pPr>
      <w:r>
        <w:rPr>
          <w:rFonts w:ascii="Times New Roman" w:hAnsi="Times New Roman"/>
          <w:sz w:val="24"/>
          <w:szCs w:val="24"/>
        </w:rPr>
      </w:r>
    </w:p>
    <w:p>
      <w:pPr>
        <w:pStyle w:val="Normal"/>
        <w:spacing w:before="0" w:after="360"/>
        <w:jc w:val="center"/>
        <w:rPr>
          <w:rFonts w:ascii="Times New Roman" w:hAnsi="Times New Roman"/>
          <w:sz w:val="24"/>
          <w:szCs w:val="24"/>
        </w:rPr>
      </w:pPr>
      <w:r>
        <w:rPr>
          <w:rFonts w:cs="Cambria" w:ascii="Times New Roman" w:hAnsi="Times New Roman" w:cstheme="minorHAnsi"/>
          <w:sz w:val="24"/>
          <w:szCs w:val="24"/>
        </w:rPr>
        <w:t xml:space="preserve">Petrópolis-RJ, </w:t>
      </w:r>
      <w:bookmarkStart w:id="3" w:name="_GoBack"/>
      <w:bookmarkEnd w:id="3"/>
      <w:r>
        <w:rPr>
          <w:rFonts w:eastAsia="" w:cs="Cambria" w:ascii="Times New Roman" w:hAnsi="Times New Roman" w:cstheme="minorHAnsi"/>
          <w:color w:val="auto"/>
          <w:kern w:val="0"/>
          <w:sz w:val="24"/>
          <w:szCs w:val="24"/>
          <w:lang w:val="pt-BR" w:eastAsia="pt-BR" w:bidi="ar-SA"/>
        </w:rPr>
        <w:t>31</w:t>
      </w:r>
      <w:r>
        <w:rPr>
          <w:rFonts w:cs="Cambria" w:ascii="Times New Roman" w:hAnsi="Times New Roman" w:cstheme="minorHAnsi"/>
          <w:sz w:val="24"/>
          <w:szCs w:val="24"/>
        </w:rPr>
        <w:t xml:space="preserve"> de </w:t>
      </w:r>
      <w:r>
        <w:rPr>
          <w:rFonts w:eastAsia="Calibri" w:cs="Cambria" w:ascii="Times New Roman" w:hAnsi="Times New Roman" w:cstheme="minorHAnsi"/>
          <w:color w:val="000000"/>
          <w:sz w:val="24"/>
          <w:szCs w:val="24"/>
        </w:rPr>
        <w:t>maio</w:t>
      </w:r>
      <w:r>
        <w:rPr>
          <w:rFonts w:cs="Cambria" w:ascii="Times New Roman" w:hAnsi="Times New Roman" w:cstheme="minorHAnsi"/>
          <w:sz w:val="24"/>
          <w:szCs w:val="24"/>
        </w:rPr>
        <w:t xml:space="preserve"> de 2023</w:t>
      </w:r>
    </w:p>
    <w:p>
      <w:pPr>
        <w:pStyle w:val="Padro1"/>
        <w:ind w:left="294" w:right="-17" w:hanging="10"/>
        <w:jc w:val="center"/>
        <w:rPr>
          <w:rFonts w:ascii="Times New Roman" w:hAnsi="Times New Roman" w:cs="Cambria" w:cstheme="minorHAnsi"/>
          <w:b/>
          <w:b/>
          <w:bCs/>
          <w:color w:val="000000"/>
          <w:sz w:val="24"/>
          <w:szCs w:val="24"/>
        </w:rPr>
      </w:pPr>
      <w:r>
        <w:rPr>
          <w:rFonts w:cs="Cambria" w:cstheme="minorHAnsi" w:ascii="Times New Roman" w:hAnsi="Times New Roman"/>
          <w:b/>
          <w:bCs/>
          <w:color w:val="000000"/>
          <w:sz w:val="24"/>
          <w:szCs w:val="24"/>
        </w:rPr>
      </w:r>
    </w:p>
    <w:p>
      <w:pPr>
        <w:pStyle w:val="Padro1"/>
        <w:ind w:left="294" w:right="-17" w:hanging="10"/>
        <w:jc w:val="center"/>
        <w:rPr>
          <w:rFonts w:ascii="Times New Roman" w:hAnsi="Times New Roman" w:cs="Cambria" w:cstheme="minorHAnsi"/>
          <w:b/>
          <w:b/>
          <w:bCs/>
          <w:color w:val="000000"/>
          <w:sz w:val="24"/>
          <w:szCs w:val="24"/>
        </w:rPr>
      </w:pPr>
      <w:r>
        <w:rPr>
          <w:rFonts w:cs="Cambria" w:cstheme="minorHAnsi" w:ascii="Times New Roman" w:hAnsi="Times New Roman"/>
          <w:b/>
          <w:bCs/>
          <w:color w:val="000000"/>
          <w:sz w:val="24"/>
          <w:szCs w:val="24"/>
        </w:rPr>
      </w:r>
    </w:p>
    <w:p>
      <w:pPr>
        <w:pStyle w:val="Padro1"/>
        <w:ind w:left="294" w:right="-17" w:hanging="10"/>
        <w:jc w:val="center"/>
        <w:rPr>
          <w:rFonts w:ascii="Times New Roman" w:hAnsi="Times New Roman" w:cs="Cambria" w:cstheme="minorHAnsi"/>
          <w:b/>
          <w:b/>
          <w:bCs/>
          <w:color w:val="000000"/>
          <w:sz w:val="24"/>
          <w:szCs w:val="24"/>
        </w:rPr>
      </w:pPr>
      <w:r>
        <w:rPr>
          <w:rFonts w:cs="Cambria" w:cstheme="minorHAnsi" w:ascii="Times New Roman" w:hAnsi="Times New Roman"/>
          <w:b/>
          <w:bCs/>
          <w:color w:val="000000"/>
          <w:sz w:val="24"/>
          <w:szCs w:val="24"/>
        </w:rPr>
      </w:r>
    </w:p>
    <w:p>
      <w:pPr>
        <w:pStyle w:val="Normal"/>
        <w:shd w:val="clear" w:color="auto" w:fill="FFFFFF"/>
        <w:jc w:val="center"/>
        <w:rPr>
          <w:rFonts w:ascii="Times New Roman" w:hAnsi="Times New Roman" w:eastAsia="Times New Roman" w:cs="Cambria" w:cstheme="minorHAnsi"/>
          <w:b/>
          <w:b/>
          <w:color w:val="auto"/>
          <w:kern w:val="0"/>
          <w:sz w:val="24"/>
          <w:szCs w:val="24"/>
          <w:lang w:val="pt-BR" w:eastAsia="pt-BR" w:bidi="ar-SA"/>
        </w:rPr>
      </w:pPr>
      <w:r>
        <w:rPr>
          <w:rFonts w:eastAsia="Times New Roman" w:cs="Cambria" w:ascii="Times New Roman" w:hAnsi="Times New Roman" w:cstheme="minorHAnsi"/>
          <w:b/>
          <w:color w:val="auto"/>
          <w:kern w:val="0"/>
          <w:sz w:val="24"/>
          <w:szCs w:val="24"/>
          <w:lang w:val="pt-BR" w:eastAsia="pt-BR" w:bidi="ar-SA"/>
        </w:rPr>
        <w:t>BRUNO LUIS DE BRITTO – 1º Sgt</w:t>
      </w:r>
    </w:p>
    <w:p>
      <w:pPr>
        <w:pStyle w:val="Normal"/>
        <w:shd w:val="clear" w:color="auto" w:fill="FFFFFF"/>
        <w:ind w:left="294" w:right="-17" w:hanging="10"/>
        <w:jc w:val="center"/>
        <w:rPr>
          <w:rFonts w:ascii="Times New Roman" w:hAnsi="Times New Roman" w:eastAsia="Times New Roman" w:cs="Cambria" w:cstheme="minorHAnsi"/>
          <w:b w:val="false"/>
          <w:b w:val="false"/>
          <w:bCs w:val="false"/>
          <w:color w:val="000000"/>
          <w:kern w:val="0"/>
          <w:sz w:val="24"/>
          <w:szCs w:val="24"/>
          <w:lang w:val="pt-BR" w:eastAsia="pt-BR" w:bidi="ar-SA"/>
        </w:rPr>
      </w:pPr>
      <w:r>
        <w:rPr>
          <w:rFonts w:eastAsia="Times New Roman" w:cs="Cambria" w:ascii="Times New Roman" w:hAnsi="Times New Roman" w:cstheme="minorHAnsi"/>
          <w:b w:val="false"/>
          <w:bCs w:val="false"/>
          <w:color w:val="000000"/>
          <w:kern w:val="0"/>
          <w:sz w:val="24"/>
          <w:szCs w:val="24"/>
          <w:lang w:val="pt-BR" w:eastAsia="pt-BR" w:bidi="ar-SA"/>
        </w:rPr>
        <w:t>Auxiliar de Licitações do</w:t>
      </w:r>
      <w:r>
        <w:rPr>
          <w:rFonts w:eastAsia="Times New Roman" w:cs="Cambria" w:ascii="Times New Roman" w:hAnsi="Times New Roman" w:cstheme="minorHAnsi"/>
          <w:b w:val="false"/>
          <w:bCs w:val="false"/>
          <w:i w:val="false"/>
          <w:iCs w:val="false"/>
          <w:color w:val="000000"/>
          <w:kern w:val="0"/>
          <w:sz w:val="24"/>
          <w:szCs w:val="24"/>
          <w:shd w:fill="auto" w:val="clear"/>
          <w:lang w:val="pt-BR" w:eastAsia="ar-SA" w:bidi="ar-SA"/>
        </w:rPr>
        <w:t xml:space="preserve"> 32º Batalhão de Infantaria Leve de Montanha</w:t>
      </w:r>
    </w:p>
    <w:p>
      <w:pPr>
        <w:pStyle w:val="Padro1"/>
        <w:ind w:left="294" w:right="-17" w:hanging="10"/>
        <w:jc w:val="center"/>
        <w:rPr>
          <w:rFonts w:ascii="Times New Roman" w:hAnsi="Times New Roman" w:cs="Cambria" w:cstheme="minorHAnsi"/>
          <w:b/>
          <w:b/>
          <w:bCs/>
          <w:color w:val="000000"/>
          <w:sz w:val="24"/>
          <w:szCs w:val="24"/>
        </w:rPr>
      </w:pPr>
      <w:r>
        <w:rPr>
          <w:rFonts w:cs="Cambria" w:cstheme="minorHAnsi" w:ascii="Times New Roman" w:hAnsi="Times New Roman"/>
          <w:b/>
          <w:bCs/>
          <w:color w:val="000000"/>
          <w:sz w:val="24"/>
          <w:szCs w:val="24"/>
        </w:rPr>
      </w:r>
    </w:p>
    <w:p>
      <w:pPr>
        <w:pStyle w:val="Padro1"/>
        <w:ind w:left="294" w:right="-17" w:hanging="10"/>
        <w:jc w:val="center"/>
        <w:rPr>
          <w:rFonts w:ascii="Times New Roman" w:hAnsi="Times New Roman" w:cs="Cambria" w:cstheme="minorHAnsi"/>
          <w:b/>
          <w:b/>
          <w:bCs/>
          <w:color w:val="000000"/>
          <w:sz w:val="24"/>
          <w:szCs w:val="24"/>
        </w:rPr>
      </w:pPr>
      <w:r>
        <w:rPr>
          <w:rFonts w:cs="Cambria" w:cstheme="minorHAnsi" w:ascii="Times New Roman" w:hAnsi="Times New Roman"/>
          <w:b/>
          <w:bCs/>
          <w:color w:val="000000"/>
          <w:sz w:val="24"/>
          <w:szCs w:val="24"/>
        </w:rPr>
      </w:r>
    </w:p>
    <w:p>
      <w:pPr>
        <w:pStyle w:val="Padro1"/>
        <w:ind w:left="294" w:right="-17" w:hanging="10"/>
        <w:jc w:val="center"/>
        <w:rPr>
          <w:rFonts w:ascii="Times New Roman" w:hAnsi="Times New Roman" w:cs="Cambria" w:cstheme="minorHAnsi"/>
          <w:b/>
          <w:b/>
          <w:bCs/>
          <w:color w:val="000000"/>
          <w:sz w:val="24"/>
          <w:szCs w:val="24"/>
        </w:rPr>
      </w:pPr>
      <w:r>
        <w:rPr>
          <w:rFonts w:cs="Cambria" w:cstheme="minorHAnsi" w:ascii="Times New Roman" w:hAnsi="Times New Roman"/>
          <w:b/>
          <w:bCs/>
          <w:color w:val="000000"/>
          <w:sz w:val="24"/>
          <w:szCs w:val="24"/>
        </w:rPr>
      </w:r>
    </w:p>
    <w:p>
      <w:pPr>
        <w:pStyle w:val="Padro1"/>
        <w:ind w:left="294" w:right="-17" w:hanging="10"/>
        <w:jc w:val="center"/>
        <w:rPr>
          <w:rFonts w:ascii="Times New Roman" w:hAnsi="Times New Roman" w:cs="Cambria" w:cstheme="minorHAnsi"/>
          <w:b/>
          <w:b/>
          <w:bCs/>
          <w:color w:val="000000"/>
          <w:sz w:val="24"/>
          <w:szCs w:val="24"/>
        </w:rPr>
      </w:pPr>
      <w:r>
        <w:rPr>
          <w:rFonts w:cs="Cambria" w:cstheme="minorHAnsi" w:ascii="Times New Roman" w:hAnsi="Times New Roman"/>
          <w:b/>
          <w:bCs/>
          <w:color w:val="000000"/>
          <w:sz w:val="24"/>
          <w:szCs w:val="24"/>
        </w:rPr>
      </w:r>
    </w:p>
    <w:p>
      <w:pPr>
        <w:pStyle w:val="Padro1"/>
        <w:ind w:left="294" w:right="-17" w:hanging="10"/>
        <w:jc w:val="center"/>
        <w:rPr>
          <w:rFonts w:ascii="Times New Roman" w:hAnsi="Times New Roman" w:cs="Cambria" w:cstheme="minorHAnsi"/>
          <w:b/>
          <w:b/>
          <w:bCs/>
          <w:color w:val="000000"/>
          <w:sz w:val="24"/>
          <w:szCs w:val="24"/>
        </w:rPr>
      </w:pPr>
      <w:r>
        <w:rPr>
          <w:rFonts w:cs="Cambria" w:cstheme="minorHAnsi" w:ascii="Times New Roman" w:hAnsi="Times New Roman"/>
          <w:b/>
          <w:bCs/>
          <w:color w:val="000000"/>
          <w:sz w:val="24"/>
          <w:szCs w:val="24"/>
        </w:rPr>
      </w:r>
    </w:p>
    <w:p>
      <w:pPr>
        <w:pStyle w:val="Normal"/>
        <w:shd w:val="clear" w:color="auto" w:fill="FFFFFF"/>
        <w:jc w:val="center"/>
        <w:rPr>
          <w:rFonts w:ascii="Times New Roman" w:hAnsi="Times New Roman"/>
          <w:sz w:val="24"/>
          <w:szCs w:val="24"/>
        </w:rPr>
      </w:pPr>
      <w:r>
        <w:rPr>
          <w:rFonts w:cs="Arial" w:ascii="Times New Roman" w:hAnsi="Times New Roman"/>
          <w:b/>
          <w:bCs/>
          <w:sz w:val="24"/>
          <w:szCs w:val="24"/>
        </w:rPr>
        <w:t>ARIGILVAN FERREIRA DA SILVA JUNIOR</w:t>
      </w:r>
      <w:r>
        <w:rPr>
          <w:rFonts w:cs="Cambria" w:ascii="Times New Roman" w:hAnsi="Times New Roman" w:cstheme="minorHAnsi"/>
          <w:b/>
          <w:sz w:val="24"/>
          <w:szCs w:val="24"/>
        </w:rPr>
        <w:t xml:space="preserve"> – </w:t>
      </w:r>
      <w:r>
        <w:rPr>
          <w:rFonts w:eastAsia="" w:cs="Cambria" w:ascii="Times New Roman" w:hAnsi="Times New Roman" w:cstheme="minorHAnsi"/>
          <w:b/>
          <w:color w:val="auto"/>
          <w:kern w:val="0"/>
          <w:sz w:val="24"/>
          <w:szCs w:val="24"/>
          <w:lang w:val="pt-BR" w:eastAsia="pt-BR" w:bidi="ar-SA"/>
        </w:rPr>
        <w:t>1º Ten</w:t>
      </w:r>
    </w:p>
    <w:p>
      <w:pPr>
        <w:pStyle w:val="Normal"/>
        <w:shd w:val="clear" w:color="auto" w:fill="FFFFFF"/>
        <w:jc w:val="center"/>
        <w:rPr>
          <w:rFonts w:ascii="Times New Roman" w:hAnsi="Times New Roman"/>
          <w:sz w:val="24"/>
          <w:szCs w:val="24"/>
        </w:rPr>
      </w:pPr>
      <w:r>
        <w:rPr>
          <w:rFonts w:cs="Cambria" w:ascii="Times New Roman" w:hAnsi="Times New Roman" w:cstheme="minorHAnsi"/>
          <w:sz w:val="24"/>
          <w:szCs w:val="24"/>
        </w:rPr>
        <w:t xml:space="preserve">Chefe do </w:t>
      </w:r>
      <w:r>
        <w:rPr>
          <w:rFonts w:eastAsia="" w:cs="Cambria" w:ascii="Times New Roman" w:hAnsi="Times New Roman" w:cstheme="minorHAnsi"/>
          <w:color w:val="auto"/>
          <w:kern w:val="0"/>
          <w:sz w:val="24"/>
          <w:szCs w:val="24"/>
          <w:lang w:val="pt-BR" w:eastAsia="pt-BR" w:bidi="ar-SA"/>
        </w:rPr>
        <w:t xml:space="preserve">Setor de Aprovisionamento </w:t>
      </w:r>
      <w:r>
        <w:rPr>
          <w:rFonts w:eastAsia="Times New Roman" w:cs="Cambria" w:ascii="Times New Roman" w:hAnsi="Times New Roman" w:cstheme="minorHAnsi"/>
          <w:b w:val="false"/>
          <w:bCs w:val="false"/>
          <w:i w:val="false"/>
          <w:iCs w:val="false"/>
          <w:color w:val="000000"/>
          <w:kern w:val="0"/>
          <w:sz w:val="24"/>
          <w:szCs w:val="24"/>
          <w:shd w:fill="auto" w:val="clear"/>
          <w:lang w:val="pt-BR" w:eastAsia="ar-SA" w:bidi="ar-SA"/>
        </w:rPr>
        <w:t>do 32º Batalhão de Infantaria Leve de Montanha</w:t>
      </w:r>
    </w:p>
    <w:p>
      <w:pPr>
        <w:pStyle w:val="Normal"/>
        <w:shd w:val="clear" w:color="auto" w:fill="FFFFFF"/>
        <w:jc w:val="center"/>
        <w:rPr>
          <w:rFonts w:ascii="Times New Roman" w:hAnsi="Times New Roman" w:cs="Cambria" w:cstheme="minorHAnsi"/>
          <w:sz w:val="24"/>
          <w:szCs w:val="24"/>
        </w:rPr>
      </w:pPr>
      <w:r>
        <w:rPr>
          <w:rFonts w:cs="Cambria" w:cstheme="minorHAnsi" w:ascii="Times New Roman" w:hAnsi="Times New Roman"/>
          <w:sz w:val="24"/>
          <w:szCs w:val="24"/>
        </w:rPr>
      </w:r>
    </w:p>
    <w:p>
      <w:pPr>
        <w:pStyle w:val="Normal"/>
        <w:shd w:val="clear" w:color="auto" w:fill="FFFFFF"/>
        <w:jc w:val="center"/>
        <w:rPr>
          <w:rFonts w:ascii="Times New Roman" w:hAnsi="Times New Roman" w:cs="Cambria" w:cstheme="minorHAnsi"/>
          <w:sz w:val="24"/>
          <w:szCs w:val="24"/>
        </w:rPr>
      </w:pPr>
      <w:r>
        <w:rPr>
          <w:rFonts w:cs="Cambria" w:cstheme="minorHAnsi" w:ascii="Times New Roman" w:hAnsi="Times New Roman"/>
          <w:sz w:val="24"/>
          <w:szCs w:val="24"/>
        </w:rPr>
      </w:r>
    </w:p>
    <w:p>
      <w:pPr>
        <w:pStyle w:val="Normal"/>
        <w:spacing w:lineRule="atLeast" w:line="100"/>
        <w:rPr>
          <w:rFonts w:ascii="Times New Roman" w:hAnsi="Times New Roman" w:cs="Cambria" w:cstheme="minorHAnsi"/>
          <w:b/>
          <w:b/>
          <w:sz w:val="24"/>
          <w:szCs w:val="24"/>
          <w:u w:val="single"/>
        </w:rPr>
      </w:pPr>
      <w:r>
        <w:rPr>
          <w:rFonts w:cs="Cambria" w:cstheme="minorHAnsi" w:ascii="Times New Roman" w:hAnsi="Times New Roman"/>
          <w:b/>
          <w:sz w:val="24"/>
          <w:szCs w:val="24"/>
          <w:u w:val="single"/>
        </w:rPr>
      </w:r>
    </w:p>
    <w:p>
      <w:pPr>
        <w:pStyle w:val="Normal"/>
        <w:spacing w:lineRule="atLeast" w:line="100"/>
        <w:rPr>
          <w:rFonts w:ascii="Times New Roman" w:hAnsi="Times New Roman"/>
          <w:sz w:val="24"/>
          <w:szCs w:val="24"/>
        </w:rPr>
      </w:pPr>
      <w:r>
        <w:rPr>
          <w:rFonts w:cs="Cambria" w:ascii="Times New Roman" w:hAnsi="Times New Roman" w:cstheme="minorHAnsi"/>
          <w:b/>
          <w:sz w:val="24"/>
          <w:szCs w:val="24"/>
          <w:u w:val="single"/>
        </w:rPr>
        <w:t>APROVAÇÃO PELO ORDENADOR DE DESPESAS</w:t>
      </w:r>
    </w:p>
    <w:p>
      <w:pPr>
        <w:pStyle w:val="Normal"/>
        <w:spacing w:lineRule="atLeast" w:line="100"/>
        <w:ind w:left="284" w:right="9" w:hanging="10"/>
        <w:rPr>
          <w:rFonts w:ascii="Times New Roman" w:hAnsi="Times New Roman" w:cs="Cambria" w:cstheme="minorHAnsi"/>
          <w:sz w:val="24"/>
          <w:szCs w:val="24"/>
          <w:u w:val="single"/>
        </w:rPr>
      </w:pPr>
      <w:r>
        <w:rPr>
          <w:rFonts w:cs="Cambria" w:cstheme="minorHAnsi" w:ascii="Times New Roman" w:hAnsi="Times New Roman"/>
          <w:sz w:val="24"/>
          <w:szCs w:val="24"/>
          <w:u w:val="single"/>
        </w:rPr>
      </w:r>
    </w:p>
    <w:p>
      <w:pPr>
        <w:pStyle w:val="Normal"/>
        <w:spacing w:lineRule="atLeast" w:line="100"/>
        <w:rPr>
          <w:rFonts w:ascii="Times New Roman" w:hAnsi="Times New Roman"/>
          <w:sz w:val="24"/>
          <w:szCs w:val="24"/>
        </w:rPr>
      </w:pPr>
      <w:r>
        <w:rPr>
          <w:rFonts w:cs="Cambria" w:ascii="Times New Roman" w:hAnsi="Times New Roman" w:cstheme="minorHAnsi"/>
          <w:sz w:val="24"/>
          <w:szCs w:val="24"/>
        </w:rPr>
        <w:tab/>
        <w:t>Aprovo o presente Termo de Referência de acordo com o Decreto nº 10.024, de 2019, cuja finalidade é subsidiar os licitantes de todas as informações necessárias à participação no certame, estando presentes os elementos necessários à identificação do objeto, seu custo e todos os critérios para participação de forma clara e concisa.</w:t>
      </w:r>
    </w:p>
    <w:p>
      <w:pPr>
        <w:pStyle w:val="Normal"/>
        <w:spacing w:lineRule="atLeast" w:line="100"/>
        <w:rPr>
          <w:rFonts w:ascii="Times New Roman" w:hAnsi="Times New Roman" w:cs="Cambria" w:cstheme="minorHAnsi"/>
          <w:sz w:val="24"/>
          <w:szCs w:val="24"/>
        </w:rPr>
      </w:pPr>
      <w:r>
        <w:rPr>
          <w:rFonts w:cs="Cambria" w:cstheme="minorHAnsi" w:ascii="Times New Roman" w:hAnsi="Times New Roman"/>
          <w:sz w:val="24"/>
          <w:szCs w:val="24"/>
        </w:rPr>
      </w:r>
    </w:p>
    <w:p>
      <w:pPr>
        <w:pStyle w:val="Normal"/>
        <w:spacing w:before="0" w:after="360"/>
        <w:jc w:val="center"/>
        <w:rPr>
          <w:rFonts w:ascii="Times New Roman" w:hAnsi="Times New Roman"/>
          <w:sz w:val="24"/>
          <w:szCs w:val="24"/>
        </w:rPr>
      </w:pPr>
      <w:r>
        <w:rPr>
          <w:rFonts w:cs="Cambria" w:ascii="Times New Roman" w:hAnsi="Times New Roman" w:cstheme="minorHAnsi"/>
          <w:sz w:val="24"/>
          <w:szCs w:val="24"/>
        </w:rPr>
        <w:t xml:space="preserve">Petrópolis-RJ, </w:t>
      </w:r>
      <w:r>
        <w:rPr>
          <w:rFonts w:eastAsia="" w:cs="Cambria" w:ascii="Times New Roman" w:hAnsi="Times New Roman" w:cstheme="minorHAnsi"/>
          <w:color w:val="auto"/>
          <w:kern w:val="0"/>
          <w:sz w:val="24"/>
          <w:szCs w:val="24"/>
          <w:lang w:val="pt-BR" w:eastAsia="pt-BR" w:bidi="ar-SA"/>
        </w:rPr>
        <w:t>31</w:t>
      </w:r>
      <w:r>
        <w:rPr>
          <w:rFonts w:cs="Cambria" w:ascii="Times New Roman" w:hAnsi="Times New Roman" w:cstheme="minorHAnsi"/>
          <w:sz w:val="24"/>
          <w:szCs w:val="24"/>
        </w:rPr>
        <w:t xml:space="preserve"> de </w:t>
      </w:r>
      <w:r>
        <w:rPr>
          <w:rFonts w:eastAsia="Calibri" w:cs="Cambria" w:ascii="Times New Roman" w:hAnsi="Times New Roman" w:cstheme="minorHAnsi"/>
          <w:color w:val="000000"/>
          <w:sz w:val="24"/>
          <w:szCs w:val="24"/>
        </w:rPr>
        <w:t>maio</w:t>
      </w:r>
      <w:r>
        <w:rPr>
          <w:rFonts w:cs="Cambria" w:ascii="Times New Roman" w:hAnsi="Times New Roman" w:cstheme="minorHAnsi"/>
          <w:sz w:val="24"/>
          <w:szCs w:val="24"/>
        </w:rPr>
        <w:t xml:space="preserve"> de 2023</w:t>
      </w:r>
    </w:p>
    <w:p>
      <w:pPr>
        <w:pStyle w:val="Normal"/>
        <w:spacing w:before="0" w:after="360"/>
        <w:jc w:val="center"/>
        <w:rPr>
          <w:rFonts w:ascii="Times New Roman" w:hAnsi="Times New Roman" w:cs="Cambria" w:cstheme="minorHAnsi"/>
          <w:sz w:val="24"/>
          <w:szCs w:val="24"/>
        </w:rPr>
      </w:pPr>
      <w:r>
        <w:rPr>
          <w:rFonts w:cs="Cambria" w:cstheme="minorHAnsi" w:ascii="Times New Roman" w:hAnsi="Times New Roman"/>
          <w:sz w:val="24"/>
          <w:szCs w:val="24"/>
        </w:rPr>
      </w:r>
    </w:p>
    <w:p>
      <w:pPr>
        <w:pStyle w:val="Padro1"/>
        <w:tabs>
          <w:tab w:val="clear" w:pos="708"/>
        </w:tabs>
        <w:jc w:val="center"/>
        <w:rPr>
          <w:rFonts w:ascii="Times New Roman" w:hAnsi="Times New Roman" w:eastAsia="Times New Roman" w:cs="Cambria" w:cstheme="minorHAnsi"/>
          <w:b/>
          <w:b/>
          <w:bCs/>
          <w:color w:val="000000"/>
          <w:sz w:val="24"/>
          <w:szCs w:val="24"/>
          <w:lang w:eastAsia="ar-SA"/>
        </w:rPr>
      </w:pPr>
      <w:r>
        <w:rPr>
          <w:rFonts w:eastAsia="Times New Roman" w:cs="Cambria" w:cstheme="minorHAnsi" w:ascii="Times New Roman" w:hAnsi="Times New Roman"/>
          <w:b/>
          <w:bCs/>
          <w:color w:val="000000"/>
          <w:sz w:val="24"/>
          <w:szCs w:val="24"/>
          <w:lang w:eastAsia="ar-SA"/>
        </w:rPr>
      </w:r>
    </w:p>
    <w:p>
      <w:pPr>
        <w:pStyle w:val="Padro1"/>
        <w:tabs>
          <w:tab w:val="clear" w:pos="708"/>
        </w:tabs>
        <w:spacing w:before="0" w:after="360"/>
        <w:ind w:left="360" w:hanging="0"/>
        <w:jc w:val="center"/>
        <w:rPr>
          <w:rFonts w:ascii="Times New Roman" w:hAnsi="Times New Roman"/>
          <w:sz w:val="24"/>
          <w:szCs w:val="24"/>
        </w:rPr>
      </w:pPr>
      <w:r>
        <w:rPr>
          <w:rFonts w:eastAsia="Times New Roman" w:cs="Cambria" w:ascii="Times New Roman" w:hAnsi="Times New Roman" w:cstheme="minorHAnsi"/>
          <w:b/>
          <w:bCs/>
          <w:i w:val="false"/>
          <w:iCs w:val="false"/>
          <w:color w:val="000000"/>
          <w:sz w:val="24"/>
          <w:szCs w:val="24"/>
          <w:shd w:fill="auto" w:val="clear"/>
          <w:lang w:eastAsia="ar-SA"/>
        </w:rPr>
        <w:t>CARLOS OTÁVIO MACEDO DE SOUSA – Ten Cel</w:t>
        <w:br/>
      </w:r>
      <w:r>
        <w:rPr>
          <w:rFonts w:eastAsia="Times New Roman" w:cs="Cambria" w:ascii="Times New Roman" w:hAnsi="Times New Roman" w:cstheme="minorHAnsi"/>
          <w:b w:val="false"/>
          <w:bCs w:val="false"/>
          <w:i w:val="false"/>
          <w:iCs w:val="false"/>
          <w:color w:val="000000"/>
          <w:sz w:val="24"/>
          <w:szCs w:val="24"/>
          <w:shd w:fill="auto" w:val="clear"/>
          <w:lang w:eastAsia="ar-SA"/>
        </w:rPr>
        <w:t>Ordenador de Despesas do 32º Batalhão de Infantaria Leve de Montanha</w:t>
      </w:r>
    </w:p>
    <w:p>
      <w:pPr>
        <w:pStyle w:val="Normal"/>
        <w:spacing w:before="0" w:after="360"/>
        <w:ind w:left="360" w:hanging="0"/>
        <w:rPr>
          <w:rFonts w:ascii="Times New Roman" w:hAnsi="Times New Roman"/>
          <w:sz w:val="24"/>
          <w:szCs w:val="24"/>
        </w:rPr>
      </w:pPr>
      <w:r>
        <w:rPr/>
      </w:r>
    </w:p>
    <w:sectPr>
      <w:headerReference w:type="default" r:id="rId10"/>
      <w:headerReference w:type="first" r:id="rId11"/>
      <w:footerReference w:type="default" r:id="rId12"/>
      <w:footerReference w:type="first" r:id="rId13"/>
      <w:type w:val="nextPage"/>
      <w:pgSz w:w="11906" w:h="16838"/>
      <w:pgMar w:left="1134" w:right="1134" w:header="285" w:top="1390" w:footer="709" w:bottom="2204"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Rawline">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409910779"/>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2"/>
          </w:rPr>
        </w:pPr>
        <w:r>
          <w:rPr>
            <w:color w:val="7F7F7F" w:themeColor="text1" w:themeTint="80"/>
            <w:spacing w:val="60"/>
            <w:sz w:val="22"/>
            <w:szCs w:val="22"/>
          </w:rPr>
          <w:tab/>
          <w:tab/>
        </w:r>
        <w:r>
          <w:rPr>
            <w:color w:val="595959" w:themeColor="text1" w:themeTint="a6"/>
            <w:spacing w:val="60"/>
            <w:sz w:val="22"/>
            <w:szCs w:val="22"/>
          </w:rPr>
          <w:t>Página</w:t>
        </w:r>
        <w:r>
          <w:rPr>
            <w:color w:val="595959" w:themeColor="text1" w:themeTint="a6"/>
            <w:sz w:val="22"/>
            <w:szCs w:val="22"/>
          </w:rPr>
          <w:t xml:space="preserve"> </w:t>
        </w:r>
        <w:r>
          <w:rPr>
            <w:color w:val="595959"/>
            <w:sz w:val="22"/>
            <w:szCs w:val="22"/>
            <w:shd w:fill="E6E6E6" w:val="clear"/>
          </w:rPr>
          <w:fldChar w:fldCharType="begin"/>
        </w:r>
        <w:r>
          <w:rPr>
            <w:sz w:val="22"/>
            <w:shd w:fill="E6E6E6" w:val="clear"/>
            <w:szCs w:val="22"/>
            <w:color w:val="595959"/>
          </w:rPr>
          <w:instrText> PAGE </w:instrText>
        </w:r>
        <w:r>
          <w:rPr>
            <w:sz w:val="22"/>
            <w:shd w:fill="E6E6E6" w:val="clear"/>
            <w:szCs w:val="22"/>
            <w:color w:val="595959"/>
          </w:rPr>
          <w:fldChar w:fldCharType="separate"/>
        </w:r>
        <w:r>
          <w:rPr>
            <w:sz w:val="22"/>
            <w:shd w:fill="E6E6E6" w:val="clear"/>
            <w:szCs w:val="22"/>
            <w:color w:val="595959"/>
          </w:rPr>
          <w:t>15</w:t>
        </w:r>
        <w:r>
          <w:rPr>
            <w:sz w:val="22"/>
            <w:shd w:fill="E6E6E6" w:val="clear"/>
            <w:szCs w:val="22"/>
            <w:color w:val="595959"/>
          </w:rPr>
          <w:fldChar w:fldCharType="end"/>
        </w:r>
        <w:r>
          <w:rPr>
            <w:color w:val="595959" w:themeColor="text1" w:themeTint="a6"/>
            <w:sz w:val="22"/>
            <w:szCs w:val="22"/>
          </w:rPr>
          <w:t xml:space="preserve"> | </w:t>
        </w:r>
        <w:r>
          <w:rPr>
            <w:color w:val="595959"/>
            <w:sz w:val="22"/>
            <w:szCs w:val="22"/>
            <w:shd w:fill="E6E6E6" w:val="clear"/>
          </w:rPr>
          <w:fldChar w:fldCharType="begin"/>
        </w:r>
        <w:r>
          <w:rPr>
            <w:sz w:val="22"/>
            <w:shd w:fill="E6E6E6" w:val="clear"/>
            <w:szCs w:val="22"/>
            <w:color w:val="595959"/>
          </w:rPr>
          <w:instrText> NUMPAGES </w:instrText>
        </w:r>
        <w:r>
          <w:rPr>
            <w:sz w:val="22"/>
            <w:shd w:fill="E6E6E6" w:val="clear"/>
            <w:szCs w:val="22"/>
            <w:color w:val="595959"/>
          </w:rPr>
          <w:fldChar w:fldCharType="separate"/>
        </w:r>
        <w:r>
          <w:rPr>
            <w:sz w:val="22"/>
            <w:shd w:fill="E6E6E6" w:val="clear"/>
            <w:szCs w:val="22"/>
            <w:color w:val="595959"/>
          </w:rPr>
          <w:t>15</w:t>
        </w:r>
        <w:r>
          <w:rPr>
            <w:sz w:val="22"/>
            <w:shd w:fill="E6E6E6" w:val="clear"/>
            <w:szCs w:val="22"/>
            <w:color w:val="595959"/>
          </w:rPr>
          <w:fldChar w:fldCharType="end"/>
        </w:r>
      </w:p>
      <w:p>
        <w:pPr>
          <w:pStyle w:val="Rodap"/>
          <w:rPr>
            <w:rFonts w:ascii="Rawline" w:hAnsi="Rawline" w:cs="Arial"/>
            <w:sz w:val="12"/>
          </w:rPr>
        </w:pPr>
        <w:r>
          <w:rPr>
            <w:rFonts w:cs="Arial" w:ascii="Rawline" w:hAnsi="Rawline"/>
            <w:sz w:val="12"/>
          </w:rPr>
          <w:t>Câmara Nacional de Modelos de Licitações e Contratos da Consultoria-Geral da União</w:t>
        </w:r>
      </w:p>
      <w:p>
        <w:pPr>
          <w:pStyle w:val="Rodap"/>
          <w:rPr>
            <w:rFonts w:ascii="Rawline" w:hAnsi="Rawline" w:cs="Arial"/>
            <w:sz w:val="12"/>
          </w:rPr>
        </w:pPr>
        <w:r>
          <w:rPr>
            <w:rFonts w:cs="Arial" w:ascii="Rawline" w:hAnsi="Rawline"/>
            <w:sz w:val="12"/>
          </w:rPr>
          <w:t>Atualização: maio/2023</w:t>
        </w:r>
      </w:p>
      <w:p>
        <w:pPr>
          <w:pStyle w:val="Rodap"/>
          <w:rPr>
            <w:rFonts w:ascii="Rawline" w:hAnsi="Rawline"/>
            <w:color w:val="0F243E" w:themeColor="text2" w:themeShade="80"/>
            <w:sz w:val="22"/>
            <w:szCs w:val="22"/>
          </w:rPr>
        </w:pPr>
        <w:r>
          <w:rPr>
            <w:rFonts w:cs="Arial" w:ascii="Rawline" w:hAnsi="Rawline"/>
            <w:sz w:val="12"/>
            <w:szCs w:val="12"/>
          </w:rPr>
          <w:t>Termo de Referência Aquisições – Licitação - Modelo para Pregão Eletrônico</w:t>
          <w:tab/>
          <w:tab/>
        </w:r>
      </w:p>
      <w:p>
        <w:pPr>
          <w:pStyle w:val="Rodap"/>
          <w:rPr>
            <w:rFonts w:ascii="Rawline" w:hAnsi="Rawline"/>
            <w:sz w:val="12"/>
            <w:szCs w:val="12"/>
          </w:rPr>
        </w:pPr>
        <w:r>
          <w:rPr>
            <w:rFonts w:ascii="Rawline" w:hAnsi="Rawline"/>
            <w:sz w:val="12"/>
            <w:szCs w:val="12"/>
          </w:rPr>
          <w:t>Aprovado pela Secretaria de Gestão.</w:t>
        </w:r>
      </w:p>
      <w:p>
        <w:pPr>
          <w:pStyle w:val="Rodap"/>
          <w:rPr>
            <w:rFonts w:ascii="Rawline" w:hAnsi="Rawline"/>
          </w:rPr>
        </w:pPr>
        <w:r>
          <w:rPr>
            <w:rFonts w:ascii="Rawline" w:hAnsi="Rawline"/>
            <w:sz w:val="12"/>
            <w:szCs w:val="12"/>
          </w:rPr>
          <w:t>Identidade visual pela Secretaria de Gestão (versão dezembro/2022)</w:t>
        </w:r>
      </w:p>
    </w:sdtContent>
  </w:sdt>
  <w:p>
    <w:pPr>
      <w:pStyle w:val="Rodap"/>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846619007"/>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2"/>
          </w:rPr>
        </w:pPr>
        <w:r>
          <w:rPr>
            <w:color w:val="7F7F7F" w:themeColor="text1" w:themeTint="80"/>
            <w:spacing w:val="60"/>
            <w:sz w:val="22"/>
            <w:szCs w:val="22"/>
          </w:rPr>
          <w:tab/>
          <w:tab/>
        </w:r>
        <w:r>
          <w:rPr>
            <w:color w:val="595959" w:themeColor="text1" w:themeTint="a6"/>
            <w:spacing w:val="60"/>
            <w:sz w:val="22"/>
            <w:szCs w:val="22"/>
          </w:rPr>
          <w:t>Página</w:t>
        </w:r>
        <w:r>
          <w:rPr>
            <w:color w:val="595959" w:themeColor="text1" w:themeTint="a6"/>
            <w:sz w:val="22"/>
            <w:szCs w:val="22"/>
          </w:rPr>
          <w:t xml:space="preserve"> </w:t>
        </w:r>
        <w:r>
          <w:rPr>
            <w:color w:val="595959"/>
            <w:sz w:val="22"/>
            <w:szCs w:val="22"/>
            <w:shd w:fill="E6E6E6" w:val="clear"/>
          </w:rPr>
          <w:fldChar w:fldCharType="begin"/>
        </w:r>
        <w:r>
          <w:rPr>
            <w:sz w:val="22"/>
            <w:shd w:fill="E6E6E6" w:val="clear"/>
            <w:szCs w:val="22"/>
            <w:color w:val="595959"/>
          </w:rPr>
          <w:instrText> PAGE </w:instrText>
        </w:r>
        <w:r>
          <w:rPr>
            <w:sz w:val="22"/>
            <w:shd w:fill="E6E6E6" w:val="clear"/>
            <w:szCs w:val="22"/>
            <w:color w:val="595959"/>
          </w:rPr>
          <w:fldChar w:fldCharType="separate"/>
        </w:r>
        <w:r>
          <w:rPr>
            <w:sz w:val="22"/>
            <w:shd w:fill="E6E6E6" w:val="clear"/>
            <w:szCs w:val="22"/>
            <w:color w:val="595959"/>
          </w:rPr>
          <w:t>1</w:t>
        </w:r>
        <w:r>
          <w:rPr>
            <w:sz w:val="22"/>
            <w:shd w:fill="E6E6E6" w:val="clear"/>
            <w:szCs w:val="22"/>
            <w:color w:val="595959"/>
          </w:rPr>
          <w:fldChar w:fldCharType="end"/>
        </w:r>
        <w:r>
          <w:rPr>
            <w:color w:val="595959" w:themeColor="text1" w:themeTint="a6"/>
            <w:sz w:val="22"/>
            <w:szCs w:val="22"/>
          </w:rPr>
          <w:t xml:space="preserve"> | </w:t>
        </w:r>
        <w:r>
          <w:rPr>
            <w:color w:val="595959"/>
            <w:sz w:val="22"/>
            <w:szCs w:val="22"/>
            <w:shd w:fill="E6E6E6" w:val="clear"/>
          </w:rPr>
          <w:fldChar w:fldCharType="begin"/>
        </w:r>
        <w:r>
          <w:rPr>
            <w:sz w:val="22"/>
            <w:shd w:fill="E6E6E6" w:val="clear"/>
            <w:szCs w:val="22"/>
            <w:color w:val="595959"/>
          </w:rPr>
          <w:instrText> NUMPAGES </w:instrText>
        </w:r>
        <w:r>
          <w:rPr>
            <w:sz w:val="22"/>
            <w:shd w:fill="E6E6E6" w:val="clear"/>
            <w:szCs w:val="22"/>
            <w:color w:val="595959"/>
          </w:rPr>
          <w:fldChar w:fldCharType="separate"/>
        </w:r>
        <w:r>
          <w:rPr>
            <w:sz w:val="22"/>
            <w:shd w:fill="E6E6E6" w:val="clear"/>
            <w:szCs w:val="22"/>
            <w:color w:val="595959"/>
          </w:rPr>
          <w:t>15</w:t>
        </w:r>
        <w:r>
          <w:rPr>
            <w:sz w:val="22"/>
            <w:shd w:fill="E6E6E6" w:val="clear"/>
            <w:szCs w:val="22"/>
            <w:color w:val="595959"/>
          </w:rPr>
          <w:fldChar w:fldCharType="end"/>
        </w:r>
      </w:p>
      <w:p>
        <w:pPr>
          <w:pStyle w:val="Rodap"/>
          <w:rPr>
            <w:rFonts w:ascii="Rawline" w:hAnsi="Rawline" w:cs="Arial"/>
            <w:sz w:val="12"/>
          </w:rPr>
        </w:pPr>
        <w:r>
          <w:rPr>
            <w:rFonts w:cs="Arial" w:ascii="Rawline" w:hAnsi="Rawline"/>
            <w:sz w:val="12"/>
          </w:rPr>
          <w:t>Câmara Nacional de Modelos de Licitações e Contratos da Consultoria-Geral da União</w:t>
        </w:r>
      </w:p>
      <w:p>
        <w:pPr>
          <w:pStyle w:val="Rodap"/>
          <w:rPr>
            <w:rFonts w:ascii="Rawline" w:hAnsi="Rawline" w:cs="Arial"/>
            <w:sz w:val="12"/>
          </w:rPr>
        </w:pPr>
        <w:r>
          <w:rPr>
            <w:rFonts w:cs="Arial" w:ascii="Rawline" w:hAnsi="Rawline"/>
            <w:sz w:val="12"/>
          </w:rPr>
          <w:t>Atualização: maio/2023</w:t>
        </w:r>
      </w:p>
      <w:p>
        <w:pPr>
          <w:pStyle w:val="Rodap"/>
          <w:rPr>
            <w:rFonts w:ascii="Rawline" w:hAnsi="Rawline"/>
            <w:color w:val="0F243E" w:themeColor="text2" w:themeShade="80"/>
            <w:sz w:val="22"/>
            <w:szCs w:val="22"/>
          </w:rPr>
        </w:pPr>
        <w:r>
          <w:rPr>
            <w:rFonts w:cs="Arial" w:ascii="Rawline" w:hAnsi="Rawline"/>
            <w:sz w:val="12"/>
            <w:szCs w:val="12"/>
          </w:rPr>
          <w:t>Termo de Referência Aquisições – Licitação - Modelo para Pregão Eletrônico</w:t>
          <w:tab/>
          <w:tab/>
        </w:r>
      </w:p>
      <w:p>
        <w:pPr>
          <w:pStyle w:val="Rodap"/>
          <w:rPr>
            <w:rFonts w:ascii="Rawline" w:hAnsi="Rawline"/>
            <w:sz w:val="12"/>
            <w:szCs w:val="12"/>
          </w:rPr>
        </w:pPr>
        <w:r>
          <w:rPr>
            <w:rFonts w:ascii="Rawline" w:hAnsi="Rawline"/>
            <w:sz w:val="12"/>
            <w:szCs w:val="12"/>
          </w:rPr>
          <w:t>Aprovado pela Secretaria de Gestão.</w:t>
        </w:r>
      </w:p>
      <w:p>
        <w:pPr>
          <w:pStyle w:val="Rodap"/>
          <w:rPr>
            <w:rFonts w:ascii="Rawline" w:hAnsi="Rawline"/>
          </w:rPr>
        </w:pPr>
        <w:r>
          <w:rPr>
            <w:rFonts w:ascii="Rawline" w:hAnsi="Rawline"/>
            <w:sz w:val="12"/>
            <w:szCs w:val="12"/>
          </w:rPr>
          <w:t>Identidade visual pela Secretaria de Gestão (versão dezembro/2022)</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widowControl/>
      <w:tabs>
        <w:tab w:val="clear" w:pos="8504"/>
        <w:tab w:val="center" w:pos="4252" w:leader="none"/>
        <w:tab w:val="right" w:pos="8647" w:leader="none"/>
      </w:tabs>
      <w:bidi w:val="0"/>
      <w:spacing w:before="0" w:after="0"/>
      <w:ind w:left="0" w:right="-737" w:hanging="0"/>
      <w:jc w:val="right"/>
      <w:rPr>
        <w:rFonts w:ascii="Arial" w:hAnsi="Arial" w:cs="Arial"/>
        <w:sz w:val="20"/>
        <w:szCs w:val="20"/>
      </w:rPr>
    </w:pPr>
    <w:r>
      <w:rPr/>
      <w:drawing>
        <wp:inline distT="0" distB="0" distL="0" distR="0">
          <wp:extent cx="765175" cy="701675"/>
          <wp:effectExtent l="0" t="0" r="0" b="0"/>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rcRect l="-94" t="-103" r="-94" b="-103"/>
                  <a:stretch>
                    <a:fillRect/>
                  </a:stretch>
                </pic:blipFill>
                <pic:spPr bwMode="auto">
                  <a:xfrm>
                    <a:off x="0" y="0"/>
                    <a:ext cx="765175" cy="701675"/>
                  </a:xfrm>
                  <a:prstGeom prst="rect">
                    <a:avLst/>
                  </a:prstGeom>
                </pic:spPr>
              </pic:pic>
            </a:graphicData>
          </a:graphic>
        </wp:inline>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widowControl/>
      <w:tabs>
        <w:tab w:val="clear" w:pos="8504"/>
        <w:tab w:val="center" w:pos="4252" w:leader="none"/>
        <w:tab w:val="right" w:pos="8647" w:leader="none"/>
      </w:tabs>
      <w:bidi w:val="0"/>
      <w:spacing w:before="0" w:after="0"/>
      <w:ind w:left="0" w:right="-737" w:hanging="0"/>
      <w:jc w:val="right"/>
      <w:rPr>
        <w:rFonts w:ascii="Arial" w:hAnsi="Arial" w:cs="Arial"/>
        <w:sz w:val="20"/>
        <w:szCs w:val="20"/>
      </w:rPr>
    </w:pPr>
    <w:r>
      <w:rPr/>
      <w:drawing>
        <wp:inline distT="0" distB="0" distL="0" distR="0">
          <wp:extent cx="765175" cy="701675"/>
          <wp:effectExtent l="0" t="0" r="0" b="0"/>
          <wp:docPr id="3"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2" descr=""/>
                  <pic:cNvPicPr>
                    <a:picLocks noChangeAspect="1" noChangeArrowheads="1"/>
                  </pic:cNvPicPr>
                </pic:nvPicPr>
                <pic:blipFill>
                  <a:blip r:embed="rId1"/>
                  <a:srcRect l="-94" t="-103" r="-94" b="-103"/>
                  <a:stretch>
                    <a:fillRect/>
                  </a:stretch>
                </pic:blipFill>
                <pic:spPr bwMode="auto">
                  <a:xfrm>
                    <a:off x="0" y="0"/>
                    <a:ext cx="765175" cy="70167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360" w:hanging="360"/>
      </w:pPr>
      <w:rPr>
        <w:sz w:val="24"/>
        <w:b/>
        <w:rFonts w:ascii="Times New Roman" w:hAnsi="Times New Roman"/>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781" w:hanging="504"/>
      </w:pPr>
      <w:rPr>
        <w:dstrike w:val="false"/>
        <w:strike w:val="false"/>
        <w:sz w:val="20"/>
        <w:i w:val="false"/>
        <w:b/>
        <w:szCs w:val="20"/>
        <w:bCs/>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4"/>
  </w:num>
  <w:num w:numId="159">
    <w:abstractNumId w:val="4"/>
  </w:num>
  <w:num w:numId="160">
    <w:abstractNumId w:val="4"/>
  </w:num>
  <w:num w:numId="161">
    <w:abstractNumId w:val="4"/>
  </w:num>
  <w:num w:numId="162">
    <w:abstractNumId w:val="4"/>
  </w:num>
  <w:num w:numId="163">
    <w:abstractNumId w:val="4"/>
  </w:num>
  <w:num w:numId="164">
    <w:abstractNumId w:val="4"/>
  </w:num>
  <w:num w:numId="165">
    <w:abstractNumId w:val="4"/>
  </w:num>
  <w:num w:numId="166">
    <w:abstractNumId w:val="4"/>
  </w:num>
  <w:num w:numId="167">
    <w:abstractNumId w:val="4"/>
  </w:num>
  <w:num w:numId="168">
    <w:abstractNumId w:val="4"/>
  </w:num>
  <w:num w:numId="169">
    <w:abstractNumId w:val="4"/>
  </w:num>
  <w:num w:numId="170">
    <w:abstractNumId w:val="4"/>
  </w:num>
  <w:num w:numId="171">
    <w:abstractNumId w:val="4"/>
  </w:num>
  <w:num w:numId="172">
    <w:abstractNumId w:val="4"/>
  </w:num>
  <w:num w:numId="173">
    <w:abstractNumId w:val="4"/>
  </w:num>
  <w:num w:numId="174">
    <w:abstractNumId w:val="4"/>
  </w:num>
  <w:num w:numId="175">
    <w:abstractNumId w:val="4"/>
  </w:num>
  <w:num w:numId="176">
    <w:abstractNumId w:val="4"/>
  </w:num>
  <w:num w:numId="177">
    <w:abstractNumId w:val="4"/>
  </w:num>
  <w:num w:numId="178">
    <w:abstractNumId w:val="4"/>
  </w:num>
  <w:num w:numId="179">
    <w:abstractNumId w:val="4"/>
  </w:num>
  <w:num w:numId="180">
    <w:abstractNumId w:val="4"/>
  </w:num>
  <w:num w:numId="181">
    <w:abstractNumId w:val="4"/>
  </w:num>
  <w:num w:numId="182">
    <w:abstractNumId w:val="4"/>
  </w:num>
  <w:num w:numId="183">
    <w:abstractNumId w:val="4"/>
  </w:num>
  <w:num w:numId="184">
    <w:abstractNumId w:val="4"/>
  </w:num>
  <w:num w:numId="185">
    <w:abstractNumId w:val="4"/>
  </w:num>
  <w:num w:numId="186">
    <w:abstractNumId w:val="4"/>
  </w:num>
  <w:num w:numId="187">
    <w:abstractNumId w:val="4"/>
  </w:num>
  <w:num w:numId="188">
    <w:abstractNumId w:val="4"/>
  </w:num>
  <w:num w:numId="189">
    <w:abstractNumId w:val="4"/>
  </w:num>
  <w:num w:numId="190">
    <w:abstractNumId w:val="4"/>
  </w:num>
  <w:num w:numId="191">
    <w:abstractNumId w:val="4"/>
  </w:num>
  <w:num w:numId="192">
    <w:abstractNumId w:val="4"/>
  </w:num>
  <w:num w:numId="193">
    <w:abstractNumId w:val="4"/>
  </w:num>
  <w:num w:numId="194">
    <w:abstractNumId w:val="4"/>
  </w:num>
  <w:num w:numId="195">
    <w:abstractNumId w:val="4"/>
  </w:num>
  <w:num w:numId="196">
    <w:abstractNumId w:val="4"/>
  </w:num>
  <w:num w:numId="197">
    <w:abstractNumId w:val="4"/>
  </w:num>
  <w:num w:numId="198">
    <w:abstractNumId w:val="4"/>
  </w:num>
  <w:num w:numId="199">
    <w:abstractNumId w:val="4"/>
  </w:num>
  <w:num w:numId="200">
    <w:abstractNumId w:val="4"/>
  </w:num>
  <w:num w:numId="201">
    <w:abstractNumId w:val="4"/>
  </w:num>
  <w:num w:numId="202">
    <w:abstractNumId w:val="4"/>
  </w:num>
  <w:num w:numId="203">
    <w:abstractNumId w:val="4"/>
  </w:num>
  <w:num w:numId="204">
    <w:abstractNumId w:val="4"/>
  </w:num>
  <w:num w:numId="205">
    <w:abstractNumId w:val="4"/>
  </w:num>
  <w:num w:numId="206">
    <w:abstractNumId w:val="4"/>
  </w:num>
  <w:num w:numId="207">
    <w:abstractNumId w:val="4"/>
  </w:num>
  <w:num w:numId="208">
    <w:abstractNumId w:val="4"/>
  </w:num>
  <w:num w:numId="209">
    <w:abstractNumId w:val="4"/>
  </w:num>
  <w:num w:numId="210">
    <w:abstractNumId w:val="4"/>
  </w:num>
  <w:num w:numId="211">
    <w:abstractNumId w:val="4"/>
  </w:num>
  <w:num w:numId="212">
    <w:abstractNumId w:val="4"/>
  </w:num>
  <w:num w:numId="213">
    <w:abstractNumId w:val="4"/>
  </w:num>
  <w:num w:numId="214">
    <w:abstractNumId w:val="4"/>
  </w:num>
  <w:num w:numId="215">
    <w:abstractNumId w:val="4"/>
  </w:num>
  <w:num w:numId="216">
    <w:abstractNumId w:val="4"/>
  </w:num>
  <w:num w:numId="217">
    <w:abstractNumId w:val="4"/>
  </w:num>
  <w:num w:numId="218">
    <w:abstractNumId w:val="4"/>
  </w:num>
  <w:num w:numId="219">
    <w:abstractNumId w:val="4"/>
  </w:num>
  <w:num w:numId="220">
    <w:abstractNumId w:val="4"/>
  </w:num>
  <w:num w:numId="221">
    <w:abstractNumId w:val="4"/>
  </w:num>
  <w:num w:numId="222">
    <w:abstractNumId w:val="4"/>
  </w:num>
  <w:num w:numId="223">
    <w:abstractNumId w:val="4"/>
  </w:num>
  <w:num w:numId="224">
    <w:abstractNumId w:val="4"/>
  </w:num>
  <w:num w:numId="225">
    <w:abstractNumId w:val="4"/>
  </w:num>
  <w:num w:numId="226">
    <w:abstractNumId w:val="4"/>
  </w:num>
  <w:num w:numId="227">
    <w:abstractNumId w:val="4"/>
  </w:num>
  <w:num w:numId="228">
    <w:abstractNumId w:val="4"/>
  </w:num>
  <w:num w:numId="229">
    <w:abstractNumId w:val="4"/>
  </w:num>
  <w:num w:numId="230">
    <w:abstractNumId w:val="4"/>
  </w:num>
  <w:num w:numId="231">
    <w:abstractNumId w:val="4"/>
  </w:num>
  <w:num w:numId="232">
    <w:abstractNumId w:val="4"/>
  </w:num>
  <w:num w:numId="233">
    <w:abstractNumId w:val="4"/>
  </w:num>
  <w:num w:numId="234">
    <w:abstractNumId w:val="4"/>
  </w:num>
  <w:num w:numId="235">
    <w:abstractNumId w:val="4"/>
  </w:num>
  <w:num w:numId="236">
    <w:abstractNumId w:val="4"/>
  </w:num>
  <w:num w:numId="237">
    <w:abstractNumId w:val="4"/>
  </w:num>
  <w:num w:numId="238">
    <w:abstractNumId w:val="4"/>
  </w:num>
  <w:num w:numId="239">
    <w:abstractNumId w:val="4"/>
  </w:num>
  <w:num w:numId="240">
    <w:abstractNumId w:val="4"/>
  </w:num>
  <w:num w:numId="241">
    <w:abstractNumId w:val="4"/>
  </w:num>
  <w:num w:numId="242">
    <w:abstractNumId w:val="4"/>
  </w:num>
  <w:num w:numId="243">
    <w:abstractNumId w:val="4"/>
  </w:num>
  <w:num w:numId="244">
    <w:abstractNumId w:val="4"/>
  </w:num>
  <w:num w:numId="245">
    <w:abstractNumId w:val="4"/>
  </w:num>
  <w:num w:numId="246">
    <w:abstractNumId w:val="4"/>
  </w:num>
  <w:num w:numId="247">
    <w:abstractNumId w:val="4"/>
  </w:num>
  <w:num w:numId="248">
    <w:abstractNumId w:val="4"/>
  </w:num>
  <w:num w:numId="249">
    <w:abstractNumId w:val="4"/>
  </w:num>
  <w:num w:numId="250">
    <w:abstractNumId w:val="4"/>
  </w:num>
  <w:num w:numId="251">
    <w:abstractNumId w:val="4"/>
  </w:num>
  <w:num w:numId="252">
    <w:abstractNumId w:val="4"/>
  </w:num>
  <w:num w:numId="253">
    <w:abstractNumId w:val="4"/>
  </w:num>
  <w:num w:numId="254">
    <w:abstractNumId w:val="4"/>
  </w:num>
  <w:num w:numId="255">
    <w:abstractNumId w:val="4"/>
  </w:num>
  <w:num w:numId="256">
    <w:abstractNumId w:val="4"/>
  </w:num>
  <w:num w:numId="257">
    <w:abstractNumId w:val="4"/>
  </w:num>
  <w:num w:numId="258">
    <w:abstractNumId w:val="4"/>
  </w:num>
  <w:num w:numId="259">
    <w:abstractNumId w:val="4"/>
  </w:num>
  <w:num w:numId="260">
    <w:abstractNumId w:val="4"/>
  </w:num>
  <w:num w:numId="261">
    <w:abstractNumId w:val="4"/>
  </w:num>
  <w:num w:numId="262">
    <w:abstractNumId w:val="4"/>
  </w:num>
  <w:num w:numId="263">
    <w:abstractNumId w:val="4"/>
  </w:num>
  <w:num w:numId="264">
    <w:abstractNumId w:val="4"/>
  </w:num>
  <w:num w:numId="265">
    <w:abstractNumId w:val="4"/>
  </w:num>
  <w:num w:numId="266">
    <w:abstractNumId w:val="4"/>
  </w:num>
  <w:num w:numId="267">
    <w:abstractNumId w:val="4"/>
  </w:num>
  <w:num w:numId="268">
    <w:abstractNumId w:val="4"/>
  </w:num>
  <w:num w:numId="269">
    <w:abstractNumId w:val="4"/>
  </w:num>
  <w:num w:numId="270">
    <w:abstractNumId w:val="4"/>
  </w:num>
  <w:num w:numId="271">
    <w:abstractNumId w:val="4"/>
  </w:num>
  <w:num w:numId="272">
    <w:abstractNumId w:val="4"/>
  </w:num>
  <w:num w:numId="273">
    <w:abstractNumId w:val="4"/>
  </w:num>
  <w:num w:numId="274">
    <w:abstractNumId w:val="4"/>
  </w:num>
  <w:num w:numId="275">
    <w:abstractNumId w:val="4"/>
  </w:num>
  <w:num w:numId="276">
    <w:abstractNumId w:val="4"/>
  </w:num>
  <w:num w:numId="277">
    <w:abstractNumId w:val="4"/>
  </w:num>
  <w:num w:numId="278">
    <w:abstractNumId w:val="4"/>
  </w:num>
  <w:num w:numId="279">
    <w:abstractNumId w:val="4"/>
  </w:num>
  <w:num w:numId="280">
    <w:abstractNumId w:val="4"/>
  </w:num>
  <w:num w:numId="281">
    <w:abstractNumId w:val="4"/>
  </w:num>
  <w:num w:numId="282">
    <w:abstractNumId w:val="4"/>
  </w:num>
  <w:num w:numId="283">
    <w:abstractNumId w:val="4"/>
  </w:num>
  <w:num w:numId="284">
    <w:abstractNumId w:val="4"/>
  </w:num>
  <w:num w:numId="285">
    <w:abstractNumId w:val="4"/>
  </w:num>
  <w:num w:numId="286">
    <w:abstractNumId w:val="4"/>
  </w:num>
  <w:num w:numId="287">
    <w:abstractNumId w:val="4"/>
  </w:num>
  <w:num w:numId="288">
    <w:abstractNumId w:val="4"/>
  </w:num>
  <w:num w:numId="289">
    <w:abstractNumId w:val="4"/>
  </w:num>
  <w:num w:numId="290">
    <w:abstractNumId w:val="4"/>
  </w:num>
  <w:num w:numId="291">
    <w:abstractNumId w:val="4"/>
  </w:num>
  <w:num w:numId="292">
    <w:abstractNumId w:val="4"/>
  </w:num>
  <w:num w:numId="293">
    <w:abstractNumId w:val="4"/>
  </w:num>
  <w:num w:numId="294">
    <w:abstractNumId w:val="4"/>
  </w:num>
  <w:num w:numId="295">
    <w:abstractNumId w:val="4"/>
  </w:num>
  <w:num w:numId="296">
    <w:abstractNumId w:val="4"/>
  </w:num>
  <w:num w:numId="297">
    <w:abstractNumId w:val="4"/>
  </w:num>
  <w:num w:numId="298">
    <w:abstractNumId w:val="4"/>
  </w:num>
  <w:num w:numId="299">
    <w:abstractNumId w:val="4"/>
  </w:num>
  <w:num w:numId="300">
    <w:abstractNumId w:val="4"/>
  </w:num>
  <w:num w:numId="301">
    <w:abstractNumId w:val="4"/>
  </w:num>
  <w:num w:numId="302">
    <w:abstractNumId w:val="4"/>
  </w:num>
  <w:num w:numId="303">
    <w:abstractNumId w:val="4"/>
  </w:num>
  <w:num w:numId="304">
    <w:abstractNumId w:val="4"/>
  </w:num>
  <w:num w:numId="305">
    <w:abstractNumId w:val="4"/>
  </w:num>
  <w:num w:numId="306">
    <w:abstractNumId w:val="4"/>
  </w:num>
  <w:num w:numId="307">
    <w:abstractNumId w:val="4"/>
  </w:num>
  <w:num w:numId="308">
    <w:abstractNumId w:val="4"/>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881f44"/>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da3ef1"/>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84242c"/>
    <w:rPr>
      <w:rFonts w:ascii="Arial" w:hAnsi="Arial" w:eastAsia="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f93d80"/>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da3ef1"/>
    <w:rPr>
      <w:rFonts w:ascii="Arial" w:hAnsi="Arial" w:eastAsia="Arial" w:cs="Arial"/>
      <w:i/>
      <w:iCs/>
      <w:color w:val="FF0000"/>
      <w:lang w:eastAsia="pt-BR"/>
    </w:rPr>
  </w:style>
  <w:style w:type="character" w:styleId="Nivel3Char" w:customStyle="1">
    <w:name w:val="Nivel 3 Char"/>
    <w:basedOn w:val="DefaultParagraphFont"/>
    <w:link w:val="Nivel3"/>
    <w:qFormat/>
    <w:rsid w:val="005d30b6"/>
    <w:rPr>
      <w:rFonts w:ascii="Arial" w:hAnsi="Arial" w:cs="Arial"/>
      <w:color w:val="000000"/>
      <w:lang w:eastAsia="pt-BR"/>
    </w:rPr>
  </w:style>
  <w:style w:type="character" w:styleId="Nvel3RChar" w:customStyle="1">
    <w:name w:val="Nível 3-R Char"/>
    <w:basedOn w:val="Nivel3Char"/>
    <w:link w:val="Nvel3-R"/>
    <w:qFormat/>
    <w:rsid w:val="00775cfb"/>
    <w:rPr>
      <w:rFonts w:ascii="Arial" w:hAnsi="Arial" w:cs="Arial"/>
      <w:i/>
      <w:iCs/>
      <w:color w:val="FF0000"/>
      <w:lang w:eastAsia="pt-BR"/>
    </w:rPr>
  </w:style>
  <w:style w:type="character" w:styleId="Nvel4RChar" w:customStyle="1">
    <w:name w:val="Nível 4-R Char"/>
    <w:basedOn w:val="Nivel4Char"/>
    <w:link w:val="Nvel4-R"/>
    <w:qFormat/>
    <w:rsid w:val="00da3ef1"/>
    <w:rPr>
      <w:rFonts w:ascii="Arial" w:hAnsi="Arial" w:cs="Arial"/>
      <w:i/>
      <w:iCs/>
      <w:color w:val="FF0000"/>
      <w:lang w:eastAsia="pt-BR"/>
    </w:rPr>
  </w:style>
  <w:style w:type="character" w:styleId="Nvel1SemNumChar" w:customStyle="1">
    <w:name w:val="Nível 1-Sem Num Char"/>
    <w:basedOn w:val="Nivel01Char"/>
    <w:link w:val="Nvel1-SemNum"/>
    <w:qFormat/>
    <w:rsid w:val="00881f44"/>
    <w:rPr>
      <w:rFonts w:ascii="Arial" w:hAnsi="Arial" w:eastAsia=""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tionnonrsolue1" w:customStyle="1">
    <w:name w:val="Mention non résolue1"/>
    <w:basedOn w:val="DefaultParagraphFont"/>
    <w:uiPriority w:val="99"/>
    <w:semiHidden/>
    <w:unhideWhenUsed/>
    <w:qFormat/>
    <w:rsid w:val="008d252d"/>
    <w:rPr>
      <w:color w:val="605E5C"/>
      <w:shd w:fill="E1DFDD" w:val="clear"/>
    </w:rPr>
  </w:style>
  <w:style w:type="character" w:styleId="Findhit" w:customStyle="1">
    <w:name w:val="findhit"/>
    <w:basedOn w:val="DefaultParagraphFont"/>
    <w:qFormat/>
    <w:rsid w:val="00e66cc3"/>
    <w:rPr/>
  </w:style>
  <w:style w:type="character" w:styleId="Nivel3erroChar" w:customStyle="1">
    <w:name w:val="Nivel 3-erro Char"/>
    <w:basedOn w:val="DefaultParagraphFont"/>
    <w:link w:val="Nivel3-erro"/>
    <w:qFormat/>
    <w:rsid w:val="005b0afb"/>
    <w:rPr>
      <w:rFonts w:ascii="Arial" w:hAnsi="Arial" w:cs="Tahoma"/>
      <w:szCs w:val="24"/>
      <w:lang w:eastAsia="pt-BR"/>
    </w:rPr>
  </w:style>
  <w:style w:type="character" w:styleId="AlteraesChar" w:customStyle="1">
    <w:name w:val="Alterações Char"/>
    <w:basedOn w:val="DefaultParagraphFont"/>
    <w:link w:val="Alteraes"/>
    <w:uiPriority w:val="1"/>
    <w:qFormat/>
    <w:rsid w:val="1414b7f7"/>
    <w:rPr>
      <w:rFonts w:ascii="Arial" w:hAnsi="Arial" w:cs="Arial"/>
      <w:i/>
      <w:iCs/>
      <w:color w:val="0000FF"/>
      <w:lang w:eastAsia="pt-BR"/>
    </w:rPr>
  </w:style>
  <w:style w:type="character" w:styleId="Mention">
    <w:name w:val="Mention"/>
    <w:basedOn w:val="DefaultParagraphFont"/>
    <w:uiPriority w:val="99"/>
    <w:unhideWhenUsed/>
    <w:qFormat/>
    <w:rsid w:val="002804a7"/>
    <w:rPr>
      <w:color w:val="2B579A"/>
      <w:shd w:fill="E6E6E6" w:val="clear"/>
    </w:rPr>
  </w:style>
  <w:style w:type="character" w:styleId="UnresolvedMention">
    <w:name w:val="Unresolved Mention"/>
    <w:basedOn w:val="DefaultParagraphFont"/>
    <w:uiPriority w:val="99"/>
    <w:semiHidden/>
    <w:unhideWhenUsed/>
    <w:qFormat/>
    <w:rsid w:val="00921a92"/>
    <w:rPr>
      <w:color w:val="605E5C"/>
      <w:shd w:fill="E1DFDD" w:val="clear"/>
    </w:rPr>
  </w:style>
  <w:style w:type="character" w:styleId="Nvel1SemNumPretoChar" w:customStyle="1">
    <w:name w:val="Nível 1-Sem Num Preto Char"/>
    <w:basedOn w:val="Nvel1SemNumChar"/>
    <w:link w:val="Nvel1-SemNumPreto"/>
    <w:qFormat/>
    <w:rsid w:val="00036ad7"/>
    <w:rPr>
      <w:rFonts w:ascii="Arial" w:hAnsi="Arial" w:eastAsia="" w:cs="Arial" w:eastAsiaTheme="majorEastAsia"/>
      <w:b/>
      <w:bCs/>
      <w:color w:val="FF0000"/>
      <w:spacing w:val="5"/>
      <w:kern w:val="2"/>
      <w:sz w:val="52"/>
      <w:szCs w:val="52"/>
      <w:lang w:eastAsia="zh-CN" w:bidi="hi-IN"/>
    </w:rPr>
  </w:style>
  <w:style w:type="character" w:styleId="Smbolosdenumerao">
    <w:name w:val="Símbolos de numeração"/>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3"/>
      </w:num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autoRedefine/>
    <w:qFormat/>
    <w:rsid w:val="00881f44"/>
    <w:pPr>
      <w:tabs>
        <w:tab w:val="clear" w:pos="708"/>
        <w:tab w:val="left" w:pos="567" w:leader="none"/>
      </w:tabs>
      <w:spacing w:lineRule="auto" w:line="276" w:before="240" w:after="12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autoRedefine/>
    <w:qFormat/>
    <w:rsid w:val="0084242c"/>
    <w:pPr>
      <w:numPr>
        <w:ilvl w:val="0"/>
        <w:numId w:val="2"/>
      </w:numPr>
      <w:spacing w:lineRule="auto" w:line="276" w:before="6" w:after="176"/>
      <w:ind w:left="510" w:right="0" w:hanging="0"/>
      <w:contextualSpacing/>
      <w:jc w:val="both"/>
    </w:pPr>
    <w:rPr>
      <w:rFonts w:ascii="Arial" w:hAnsi="Arial" w:eastAsia="Arial" w:cs="Arial"/>
      <w:b w:val="false"/>
      <w:bCs w:val="false"/>
      <w:color w:val="000000"/>
      <w:sz w:val="20"/>
      <w:szCs w:val="20"/>
      <w:u w:val="none"/>
    </w:rPr>
  </w:style>
  <w:style w:type="paragraph" w:styleId="Nivel11" w:customStyle="1">
    <w:name w:val="Nivel 1"/>
    <w:basedOn w:val="Nivel2"/>
    <w:next w:val="Nivel2"/>
    <w:qFormat/>
    <w:rsid w:val="003629e4"/>
    <w:pPr>
      <w:numPr>
        <w:ilvl w:val="0"/>
        <w:numId w:val="0"/>
      </w:numPr>
      <w:ind w:left="360" w:right="0" w:hanging="360"/>
    </w:pPr>
    <w:rPr>
      <w:b/>
    </w:rPr>
  </w:style>
  <w:style w:type="paragraph" w:styleId="Nivel3" w:customStyle="1">
    <w:name w:val="Nivel 3"/>
    <w:basedOn w:val="Normal"/>
    <w:link w:val="Nivel3Char"/>
    <w:autoRedefine/>
    <w:qFormat/>
    <w:rsid w:val="005d30b6"/>
    <w:pPr>
      <w:numPr>
        <w:ilvl w:val="0"/>
        <w:numId w:val="2"/>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autoRedefine/>
    <w:qFormat/>
    <w:rsid w:val="00da3ef1"/>
    <w:pPr>
      <w:ind w:left="567" w:hanging="0"/>
    </w:pPr>
    <w:rPr>
      <w:color w:val="auto"/>
    </w:rPr>
  </w:style>
  <w:style w:type="paragraph" w:styleId="Nivel5" w:customStyle="1">
    <w:name w:val="Nivel 5"/>
    <w:basedOn w:val="Nivel4"/>
    <w:autoRedefine/>
    <w:qFormat/>
    <w:rsid w:val="00da3ef1"/>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right="0"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f93d80"/>
    <w:pPr>
      <w:spacing w:lineRule="auto" w:line="259" w:before="60" w:after="60"/>
      <w:ind w:left="0" w:hanging="0"/>
      <w:contextualSpacing/>
      <w:jc w:val="center"/>
    </w:pPr>
    <w:rPr>
      <w:rFonts w:ascii="Arial" w:hAnsi="Arial" w:eastAsia="Cambria" w:cs="Arial" w:eastAsiaTheme="minorHAnsi"/>
      <w:b/>
      <w:bCs/>
      <w:i/>
      <w:iCs/>
      <w:color w:val="FF0000"/>
      <w:sz w:val="2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da3ef1"/>
    <w:pPr/>
    <w:rPr>
      <w:i/>
      <w:iCs/>
      <w:color w:val="FF0000"/>
    </w:rPr>
  </w:style>
  <w:style w:type="paragraph" w:styleId="Nvel3R" w:customStyle="1">
    <w:name w:val="Nível 3-R"/>
    <w:basedOn w:val="Nivel3"/>
    <w:link w:val="Nvel3-RChar"/>
    <w:autoRedefine/>
    <w:qFormat/>
    <w:rsid w:val="00775cfb"/>
    <w:pPr/>
    <w:rPr>
      <w:i w:val="false"/>
      <w:iCs w:val="false"/>
      <w:color w:val="auto"/>
      <w:u w:val="none"/>
    </w:rPr>
  </w:style>
  <w:style w:type="paragraph" w:styleId="Nvel4R" w:customStyle="1">
    <w:name w:val="Nível 4-R"/>
    <w:basedOn w:val="Nivel4"/>
    <w:link w:val="Nvel4-RChar"/>
    <w:autoRedefine/>
    <w:qFormat/>
    <w:rsid w:val="00da3ef1"/>
    <w:pPr/>
    <w:rPr>
      <w:i/>
      <w:iCs/>
      <w:color w:val="FF0000"/>
      <w:u w:val="single"/>
    </w:rPr>
  </w:style>
  <w:style w:type="paragraph" w:styleId="Nvel1SemNum" w:customStyle="1">
    <w:name w:val="Nível 1-Sem Num"/>
    <w:basedOn w:val="Nivel01"/>
    <w:link w:val="Nvel1-SemNumChar"/>
    <w:autoRedefine/>
    <w:qFormat/>
    <w:rsid w:val="00881f44"/>
    <w:pPr>
      <w:outlineLvl w:val="1"/>
    </w:pPr>
    <w:rPr>
      <w:color w:val="FF0000"/>
    </w:rPr>
  </w:style>
  <w:style w:type="paragraph" w:styleId="Citao2" w:customStyle="1">
    <w:name w:val="citação 2"/>
    <w:basedOn w:val="Quote"/>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ivel3erro" w:customStyle="1">
    <w:name w:val="Nivel 3-erro"/>
    <w:basedOn w:val="Nivel3"/>
    <w:link w:val="Nivel3-erroChar"/>
    <w:qFormat/>
    <w:rsid w:val="005b0afb"/>
    <w:pPr>
      <w:numPr>
        <w:ilvl w:val="0"/>
        <w:numId w:val="1"/>
      </w:numPr>
      <w:spacing w:lineRule="auto" w:line="240"/>
      <w:ind w:left="425" w:hanging="0"/>
    </w:pPr>
    <w:rPr>
      <w:rFonts w:cs="Tahoma"/>
      <w:color w:val="auto"/>
      <w:szCs w:val="24"/>
    </w:rPr>
  </w:style>
  <w:style w:type="paragraph" w:styleId="Alteraes" w:customStyle="1">
    <w:name w:val="Alterações"/>
    <w:basedOn w:val="Normal"/>
    <w:link w:val="AlteraesChar"/>
    <w:uiPriority w:val="1"/>
    <w:qFormat/>
    <w:rsid w:val="1414b7f7"/>
    <w:pPr>
      <w:spacing w:lineRule="auto" w:line="276" w:before="120" w:after="120"/>
      <w:jc w:val="both"/>
      <w:outlineLvl w:val="1"/>
    </w:pPr>
    <w:rPr>
      <w:rFonts w:ascii="Arial" w:hAnsi="Arial" w:cs="Arial"/>
      <w:i/>
      <w:iCs/>
      <w:color w:val="0000FF"/>
      <w:sz w:val="20"/>
      <w:szCs w:val="20"/>
    </w:rPr>
  </w:style>
  <w:style w:type="paragraph" w:styleId="Nvel1SemNumPreto" w:customStyle="1">
    <w:name w:val="Nível 1-Sem Num Preto"/>
    <w:basedOn w:val="Nvel1SemNum"/>
    <w:link w:val="Nvel1-SemNumPretoChar"/>
    <w:qFormat/>
    <w:rsid w:val="00036ad7"/>
    <w:pPr/>
    <w:rPr>
      <w:color w:val="auto"/>
      <w:lang w:eastAsia="zh-CN" w:bidi="hi-IN"/>
    </w:rPr>
  </w:style>
  <w:style w:type="paragraph" w:styleId="NormalTable">
    <w:name w:val="Normal Table"/>
    <w:qFormat/>
    <w:pPr>
      <w:widowControl/>
      <w:suppressAutoHyphens w:val="true"/>
      <w:bidi w:val="0"/>
      <w:spacing w:before="0" w:after="0"/>
      <w:jc w:val="left"/>
      <w:textAlignment w:val="auto"/>
    </w:pPr>
    <w:rPr>
      <w:rFonts w:ascii="Times New Roman" w:hAnsi="Times New Roman" w:eastAsia="Times New Roman" w:cs="Times New Roman"/>
      <w:color w:val="auto"/>
      <w:kern w:val="0"/>
      <w:sz w:val="20"/>
      <w:szCs w:val="20"/>
      <w:lang w:val="pt-BR" w:eastAsia="pt-BR" w:bidi="ar-SA"/>
    </w:rPr>
  </w:style>
  <w:style w:type="paragraph" w:styleId="Padro1">
    <w:name w:val="Padrão"/>
    <w:qFormat/>
    <w:pPr>
      <w:widowControl/>
      <w:tabs>
        <w:tab w:val="left" w:pos="708" w:leader="none"/>
      </w:tabs>
      <w:suppressAutoHyphens w:val="true"/>
      <w:bidi w:val="0"/>
      <w:spacing w:lineRule="auto" w:line="240" w:before="0" w:after="0"/>
      <w:jc w:val="left"/>
    </w:pPr>
    <w:rPr>
      <w:rFonts w:ascii="Calibri" w:hAnsi="Calibri" w:eastAsia="Droid Sans" w:cs="Calibri"/>
      <w:color w:val="00000A"/>
      <w:kern w:val="0"/>
      <w:sz w:val="22"/>
      <w:szCs w:val="22"/>
      <w:lang w:val="pt-BR" w:eastAsia="en-US" w:bidi="ar-SA"/>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in.gov.br/en/web/dou/-/instrucao-normativa-seges/me-n-77-de-4-de-novembro-de-2022-441681061"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gov.br/compras/pt-br/acesso-a-informacao/legislacao/instrucoes-normativas/instrucao-normativa-no-53-de-8-de-julho-de-2020" TargetMode="External"/><Relationship Id="rId6" Type="http://schemas.openxmlformats.org/officeDocument/2006/relationships/hyperlink" Target="http://www.planalto.gov.br/ccivil_03/AGU/Pareceres/2019-2022/PRC-JL-01-2020.htm" TargetMode="External"/><Relationship Id="rId7" Type="http://schemas.openxmlformats.org/officeDocument/2006/relationships/hyperlink" Target="https://www.gov.br/empresas-e-negocios/pt-br/empreendedor" TargetMode="External"/><Relationship Id="rId8" Type="http://schemas.openxmlformats.org/officeDocument/2006/relationships/hyperlink" Target="https://www.gov.br/economia/pt-br/assuntos/drei/legislacao/arquivos/legislacoes-federais/indrei772020.pdf" TargetMode="External"/><Relationship Id="rId9" Type="http://schemas.openxmlformats.org/officeDocument/2006/relationships/hyperlink" Target="https://www.gov.br/trabalho-e-previdencia/pt-br/servicos/empregador/programa-de-alimentacao-do-trabalhador-pat/arquivos-legislacao/instrucoes-normativas/pat_in_971_2009.pdf" TargetMode="External"/><Relationship Id="rId10" Type="http://schemas.openxmlformats.org/officeDocument/2006/relationships/header" Target="header1.xml"/><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2.wmf"/>
</Relationships>
</file>

<file path=word/_rels/header2.xml.rels><?xml version="1.0" encoding="UTF-8"?>
<Relationships xmlns="http://schemas.openxmlformats.org/package/2006/relationships"><Relationship Id="rId1" Type="http://schemas.openxmlformats.org/officeDocument/2006/relationships/image" Target="media/image3.wm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36662-ABDA-4499-9690-AB4396A4B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Application>LibreOffice/7.1.4.2$Windows_X86_64 LibreOffice_project/a529a4fab45b75fefc5b6226684193eb000654f6</Application>
  <AppVersion>15.0000</AppVersion>
  <Pages>15</Pages>
  <Words>5543</Words>
  <Characters>31256</Characters>
  <CharactersWithSpaces>36474</CharactersWithSpaces>
  <Paragraphs>247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2023-07-03T13:13:22Z</dcterms:modified>
  <cp:revision>75</cp:revision>
  <dc:subject/>
  <dc:title/>
</cp:coreProperties>
</file>

<file path=docProps/custom.xml><?xml version="1.0" encoding="utf-8"?>
<Properties xmlns="http://schemas.openxmlformats.org/officeDocument/2006/custom-properties" xmlns:vt="http://schemas.openxmlformats.org/officeDocument/2006/docPropsVTypes"/>
</file>